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936AA">
      <w:pPr>
        <w:spacing w:line="360" w:lineRule="auto"/>
        <w:jc w:val="center"/>
        <w:rPr>
          <w:rFonts w:hint="eastAsia" w:ascii="Arial" w:hAnsi="Arial" w:eastAsia="黑体" w:cs="Arial"/>
          <w:b/>
          <w:sz w:val="32"/>
          <w:szCs w:val="32"/>
        </w:rPr>
      </w:pPr>
    </w:p>
    <w:p w14:paraId="5AB37DDA">
      <w:pPr>
        <w:spacing w:line="360" w:lineRule="auto"/>
        <w:jc w:val="center"/>
        <w:rPr>
          <w:rFonts w:ascii="宋体" w:hAnsi="宋体" w:cs="Arial"/>
          <w:b/>
          <w:sz w:val="32"/>
          <w:szCs w:val="32"/>
        </w:rPr>
      </w:pPr>
      <w:r>
        <w:rPr>
          <w:rFonts w:ascii="宋体" w:hAnsi="宋体" w:cs="Arial"/>
          <w:b/>
          <w:sz w:val="32"/>
          <w:szCs w:val="32"/>
        </w:rPr>
        <w:t>永兴特种</w:t>
      </w:r>
      <w:r>
        <w:rPr>
          <w:rFonts w:hint="eastAsia" w:ascii="宋体" w:hAnsi="宋体" w:cs="Arial"/>
          <w:b/>
          <w:sz w:val="32"/>
          <w:szCs w:val="32"/>
        </w:rPr>
        <w:t>材料科技</w:t>
      </w:r>
      <w:r>
        <w:rPr>
          <w:rFonts w:ascii="宋体" w:hAnsi="宋体" w:cs="Arial"/>
          <w:b/>
          <w:sz w:val="32"/>
          <w:szCs w:val="32"/>
        </w:rPr>
        <w:t>股份有限公司</w:t>
      </w:r>
    </w:p>
    <w:p w14:paraId="0B549891">
      <w:pPr>
        <w:spacing w:line="360" w:lineRule="auto"/>
        <w:jc w:val="center"/>
        <w:rPr>
          <w:rFonts w:hint="eastAsia" w:ascii="宋体" w:hAnsi="宋体" w:cs="Arial"/>
          <w:b/>
          <w:sz w:val="32"/>
          <w:szCs w:val="32"/>
        </w:rPr>
      </w:pPr>
      <w:r>
        <w:rPr>
          <w:rFonts w:ascii="宋体" w:hAnsi="宋体" w:cs="Arial"/>
          <w:b/>
          <w:sz w:val="32"/>
          <w:szCs w:val="32"/>
        </w:rPr>
        <w:t>薪酬与考核委员会</w:t>
      </w:r>
      <w:r>
        <w:rPr>
          <w:rFonts w:hint="eastAsia" w:ascii="宋体" w:hAnsi="宋体" w:cs="Arial"/>
          <w:b/>
          <w:sz w:val="32"/>
          <w:szCs w:val="32"/>
        </w:rPr>
        <w:t>工作细则</w:t>
      </w:r>
    </w:p>
    <w:p w14:paraId="1DEB5B04">
      <w:pPr>
        <w:spacing w:line="360" w:lineRule="auto"/>
        <w:jc w:val="center"/>
        <w:rPr>
          <w:rFonts w:hint="eastAsia" w:ascii="Arial" w:hAnsi="Arial" w:eastAsia="黑体" w:cs="Arial"/>
          <w:b/>
          <w:sz w:val="32"/>
          <w:szCs w:val="32"/>
        </w:rPr>
      </w:pPr>
    </w:p>
    <w:p w14:paraId="124C9B2B">
      <w:pPr>
        <w:tabs>
          <w:tab w:val="right" w:pos="9070"/>
        </w:tabs>
        <w:spacing w:line="312" w:lineRule="auto"/>
        <w:ind w:firstLine="480"/>
        <w:jc w:val="center"/>
        <w:rPr>
          <w:rFonts w:hint="eastAsia" w:ascii="宋体" w:hAnsi="宋体" w:cs="Arial"/>
          <w:b/>
          <w:bCs/>
          <w:sz w:val="24"/>
        </w:rPr>
      </w:pPr>
      <w:r>
        <w:rPr>
          <w:rFonts w:hint="eastAsia" w:ascii="宋体" w:hAnsi="宋体" w:cs="Arial"/>
          <w:b/>
          <w:bCs/>
          <w:sz w:val="24"/>
        </w:rPr>
        <w:t>第一章  总则</w:t>
      </w:r>
    </w:p>
    <w:p w14:paraId="4AAAC663">
      <w:pPr>
        <w:tabs>
          <w:tab w:val="right" w:pos="9070"/>
        </w:tabs>
        <w:spacing w:line="312" w:lineRule="auto"/>
        <w:ind w:firstLine="480"/>
        <w:rPr>
          <w:rFonts w:hint="eastAsia" w:ascii="宋体" w:hAnsi="宋体" w:cs="Arial"/>
          <w:sz w:val="24"/>
        </w:rPr>
      </w:pPr>
    </w:p>
    <w:p w14:paraId="713E4179">
      <w:pPr>
        <w:tabs>
          <w:tab w:val="left" w:pos="1722"/>
        </w:tabs>
        <w:overflowPunct w:val="0"/>
        <w:spacing w:line="312" w:lineRule="auto"/>
        <w:ind w:left="1690" w:hanging="1689" w:hangingChars="704"/>
        <w:rPr>
          <w:rFonts w:hint="eastAsia" w:ascii="宋体" w:hAnsi="宋体" w:cs="Arial"/>
          <w:sz w:val="24"/>
        </w:rPr>
      </w:pPr>
      <w:r>
        <w:rPr>
          <w:rFonts w:hint="eastAsia" w:ascii="宋体" w:hAnsi="宋体" w:cs="Arial"/>
          <w:sz w:val="24"/>
        </w:rPr>
        <w:t>第一条</w:t>
      </w:r>
      <w:r>
        <w:rPr>
          <w:rFonts w:hint="eastAsia" w:ascii="宋体" w:hAnsi="宋体" w:cs="Arial"/>
          <w:sz w:val="24"/>
        </w:rPr>
        <w:tab/>
      </w:r>
      <w:r>
        <w:rPr>
          <w:rFonts w:hint="eastAsia" w:ascii="宋体" w:hAnsi="宋体" w:cs="Arial"/>
          <w:sz w:val="24"/>
        </w:rPr>
        <w:t>为规范公司领导人员的产生, 优化董事会组成, 建立健全公司董事(非独立董事)及高级管理人员(以下简称“经理人员”)的考核和薪酬管理制度, 完善公司治理结构, 根据《中华人民共和国公司法》、《上市公司治理准则》、《公司章程》及其他有关规定, 公司特设立董事会薪酬与考核委员会, 并制定本工作细则。</w:t>
      </w:r>
    </w:p>
    <w:p w14:paraId="0EF026FA">
      <w:pPr>
        <w:tabs>
          <w:tab w:val="right" w:pos="9070"/>
        </w:tabs>
        <w:overflowPunct w:val="0"/>
        <w:spacing w:line="312" w:lineRule="auto"/>
        <w:ind w:firstLine="480"/>
        <w:rPr>
          <w:rFonts w:hint="eastAsia" w:ascii="宋体" w:hAnsi="宋体" w:cs="Arial"/>
          <w:sz w:val="24"/>
        </w:rPr>
      </w:pPr>
    </w:p>
    <w:p w14:paraId="0849A517">
      <w:pPr>
        <w:tabs>
          <w:tab w:val="left" w:pos="1722"/>
        </w:tabs>
        <w:spacing w:line="312" w:lineRule="auto"/>
        <w:ind w:left="1690" w:hanging="1689" w:hangingChars="704"/>
        <w:rPr>
          <w:rFonts w:hint="eastAsia" w:ascii="宋体" w:hAnsi="宋体" w:cs="Arial"/>
          <w:sz w:val="24"/>
        </w:rPr>
      </w:pPr>
      <w:r>
        <w:rPr>
          <w:rFonts w:hint="eastAsia" w:ascii="宋体" w:hAnsi="宋体" w:cs="Arial"/>
          <w:sz w:val="24"/>
        </w:rPr>
        <w:t>第二条</w:t>
      </w:r>
      <w:r>
        <w:rPr>
          <w:rFonts w:hint="eastAsia" w:ascii="宋体" w:hAnsi="宋体" w:cs="Arial"/>
          <w:sz w:val="24"/>
        </w:rPr>
        <w:tab/>
      </w:r>
      <w:r>
        <w:rPr>
          <w:rFonts w:hint="eastAsia" w:ascii="宋体" w:hAnsi="宋体" w:cs="Arial"/>
          <w:sz w:val="24"/>
        </w:rPr>
        <w:t>薪酬与考核委员会是董事会下设的专门工作机构, 主要负责制定公司董事及经理人员的考核标准并进行考核; 负责制定、审查公司董事及经理人员的薪酬政策与方案, 对董事会负责。</w:t>
      </w:r>
    </w:p>
    <w:p w14:paraId="53CD63AA">
      <w:pPr>
        <w:tabs>
          <w:tab w:val="right" w:pos="9070"/>
        </w:tabs>
        <w:spacing w:line="312" w:lineRule="auto"/>
        <w:ind w:firstLine="480"/>
        <w:rPr>
          <w:rFonts w:hint="eastAsia" w:ascii="宋体" w:hAnsi="宋体" w:cs="Arial"/>
          <w:sz w:val="24"/>
        </w:rPr>
      </w:pPr>
    </w:p>
    <w:p w14:paraId="658ED7CC">
      <w:pPr>
        <w:tabs>
          <w:tab w:val="left" w:pos="1694"/>
        </w:tabs>
        <w:spacing w:line="312" w:lineRule="auto"/>
        <w:ind w:left="1690" w:hanging="1689" w:hangingChars="704"/>
        <w:rPr>
          <w:rFonts w:hint="eastAsia" w:ascii="宋体" w:hAnsi="宋体" w:cs="Arial"/>
          <w:sz w:val="24"/>
        </w:rPr>
      </w:pPr>
      <w:r>
        <w:rPr>
          <w:rFonts w:hint="eastAsia" w:ascii="宋体" w:hAnsi="宋体" w:cs="Arial"/>
          <w:sz w:val="24"/>
        </w:rPr>
        <w:t>第三条</w:t>
      </w:r>
      <w:r>
        <w:rPr>
          <w:rFonts w:hint="eastAsia" w:ascii="宋体" w:hAnsi="宋体" w:cs="Arial"/>
          <w:sz w:val="24"/>
        </w:rPr>
        <w:tab/>
      </w:r>
      <w:r>
        <w:rPr>
          <w:rFonts w:hint="eastAsia" w:ascii="宋体" w:hAnsi="宋体" w:cs="Arial"/>
          <w:sz w:val="24"/>
        </w:rPr>
        <w:t>本工作细则所指薪酬与考核的范围为在本公司领取薪酬的董事长、董事、董事会聘任的总经理、副总经理、董事会秘书及由总经理提请董事会认定的其他高级管理人员。</w:t>
      </w:r>
    </w:p>
    <w:p w14:paraId="44F63152">
      <w:pPr>
        <w:tabs>
          <w:tab w:val="right" w:pos="9070"/>
        </w:tabs>
        <w:spacing w:line="312" w:lineRule="auto"/>
        <w:ind w:firstLine="480"/>
        <w:rPr>
          <w:rFonts w:hint="eastAsia" w:ascii="宋体" w:hAnsi="宋体" w:cs="Arial"/>
          <w:sz w:val="24"/>
        </w:rPr>
      </w:pPr>
    </w:p>
    <w:p w14:paraId="78CD62BF">
      <w:pPr>
        <w:tabs>
          <w:tab w:val="right" w:pos="9070"/>
        </w:tabs>
        <w:spacing w:line="312" w:lineRule="auto"/>
        <w:ind w:firstLine="480"/>
        <w:jc w:val="center"/>
        <w:rPr>
          <w:rFonts w:hint="eastAsia" w:ascii="宋体" w:hAnsi="宋体" w:cs="Arial"/>
          <w:b/>
          <w:bCs/>
          <w:sz w:val="24"/>
        </w:rPr>
      </w:pPr>
      <w:r>
        <w:rPr>
          <w:rFonts w:hint="eastAsia" w:ascii="宋体" w:hAnsi="宋体" w:cs="Arial"/>
          <w:b/>
          <w:bCs/>
          <w:sz w:val="24"/>
        </w:rPr>
        <w:t>第二章 人员组成</w:t>
      </w:r>
    </w:p>
    <w:p w14:paraId="2664FC57">
      <w:pPr>
        <w:tabs>
          <w:tab w:val="left" w:pos="1080"/>
        </w:tabs>
        <w:spacing w:line="312" w:lineRule="auto"/>
        <w:ind w:left="1126" w:hanging="1125" w:hangingChars="469"/>
        <w:rPr>
          <w:rFonts w:hint="eastAsia" w:ascii="宋体" w:hAnsi="宋体" w:cs="Arial"/>
          <w:sz w:val="24"/>
        </w:rPr>
      </w:pPr>
    </w:p>
    <w:p w14:paraId="55AC03DB">
      <w:pPr>
        <w:tabs>
          <w:tab w:val="left" w:pos="1736"/>
        </w:tabs>
        <w:spacing w:line="312" w:lineRule="auto"/>
        <w:ind w:left="1690" w:hanging="1689" w:hangingChars="704"/>
        <w:rPr>
          <w:rFonts w:hint="eastAsia" w:ascii="宋体" w:hAnsi="宋体" w:cs="Arial"/>
          <w:sz w:val="24"/>
        </w:rPr>
      </w:pPr>
      <w:r>
        <w:rPr>
          <w:rFonts w:hint="eastAsia" w:ascii="宋体" w:hAnsi="宋体" w:cs="Arial"/>
          <w:sz w:val="24"/>
        </w:rPr>
        <w:t>第四条</w:t>
      </w:r>
      <w:r>
        <w:rPr>
          <w:rFonts w:hint="eastAsia" w:ascii="宋体" w:hAnsi="宋体" w:cs="Arial"/>
          <w:sz w:val="24"/>
        </w:rPr>
        <w:tab/>
      </w:r>
      <w:r>
        <w:rPr>
          <w:rFonts w:hint="eastAsia" w:ascii="宋体" w:hAnsi="宋体" w:cs="Arial"/>
          <w:sz w:val="24"/>
        </w:rPr>
        <w:t>薪酬与考核委员会委员由五名董事组成, 其中独立董事应不少于三名。</w:t>
      </w:r>
    </w:p>
    <w:p w14:paraId="4943DEDD">
      <w:pPr>
        <w:tabs>
          <w:tab w:val="right" w:pos="9070"/>
        </w:tabs>
        <w:spacing w:line="312" w:lineRule="auto"/>
        <w:ind w:firstLine="480"/>
        <w:rPr>
          <w:rFonts w:hint="eastAsia" w:ascii="宋体" w:hAnsi="宋体" w:cs="Arial"/>
          <w:sz w:val="24"/>
        </w:rPr>
      </w:pPr>
    </w:p>
    <w:p w14:paraId="2252C0B9">
      <w:pPr>
        <w:tabs>
          <w:tab w:val="left" w:pos="1750"/>
        </w:tabs>
        <w:spacing w:line="312" w:lineRule="auto"/>
        <w:ind w:left="1690" w:hanging="1689" w:hangingChars="704"/>
        <w:rPr>
          <w:rFonts w:hint="eastAsia" w:ascii="宋体" w:hAnsi="宋体" w:cs="Arial"/>
          <w:sz w:val="24"/>
        </w:rPr>
      </w:pPr>
      <w:r>
        <w:rPr>
          <w:rFonts w:hint="eastAsia" w:ascii="宋体" w:hAnsi="宋体" w:cs="Arial"/>
          <w:sz w:val="24"/>
        </w:rPr>
        <w:t>第五条</w:t>
      </w:r>
      <w:r>
        <w:rPr>
          <w:rFonts w:hint="eastAsia" w:ascii="宋体" w:hAnsi="宋体" w:cs="Arial"/>
          <w:sz w:val="24"/>
        </w:rPr>
        <w:tab/>
      </w:r>
      <w:r>
        <w:rPr>
          <w:rFonts w:hint="eastAsia" w:ascii="宋体" w:hAnsi="宋体" w:cs="Arial"/>
          <w:sz w:val="24"/>
        </w:rPr>
        <w:t>薪酬与考核委员会委员由董事长、二分之一以上独立董事或者全体董事的三分之一提名, 并由董事会选举产生。</w:t>
      </w:r>
    </w:p>
    <w:p w14:paraId="1565D536">
      <w:pPr>
        <w:tabs>
          <w:tab w:val="right" w:pos="9070"/>
        </w:tabs>
        <w:spacing w:line="312" w:lineRule="auto"/>
        <w:ind w:firstLine="480"/>
        <w:rPr>
          <w:rFonts w:hint="eastAsia" w:ascii="宋体" w:hAnsi="宋体" w:cs="Arial"/>
          <w:sz w:val="24"/>
        </w:rPr>
      </w:pPr>
    </w:p>
    <w:p w14:paraId="01B2089F">
      <w:pPr>
        <w:tabs>
          <w:tab w:val="left" w:pos="1722"/>
        </w:tabs>
        <w:spacing w:line="312" w:lineRule="auto"/>
        <w:ind w:left="1690" w:hanging="1689" w:hangingChars="704"/>
        <w:rPr>
          <w:rFonts w:hint="eastAsia" w:ascii="宋体" w:hAnsi="宋体" w:cs="Arial"/>
          <w:sz w:val="24"/>
        </w:rPr>
      </w:pPr>
      <w:r>
        <w:rPr>
          <w:rFonts w:hint="eastAsia" w:ascii="宋体" w:hAnsi="宋体" w:cs="Arial"/>
          <w:sz w:val="24"/>
        </w:rPr>
        <w:t>第六条</w:t>
      </w:r>
      <w:r>
        <w:rPr>
          <w:rFonts w:hint="eastAsia" w:ascii="宋体" w:hAnsi="宋体" w:cs="Arial"/>
          <w:sz w:val="24"/>
        </w:rPr>
        <w:tab/>
      </w:r>
      <w:r>
        <w:rPr>
          <w:rFonts w:hint="eastAsia" w:ascii="宋体" w:hAnsi="宋体" w:cs="Arial"/>
          <w:sz w:val="24"/>
        </w:rPr>
        <w:t>薪酬与考核委员会设主任委员(即召集人)一名, 由独立董事担任, 负责主持委员会工作; 主任委员</w:t>
      </w:r>
      <w:r>
        <w:rPr>
          <w:rFonts w:ascii="宋体" w:hAnsi="宋体" w:cs="Arial"/>
          <w:sz w:val="24"/>
        </w:rPr>
        <w:t>由全体委员的二分之一以上选举产生</w:t>
      </w:r>
      <w:r>
        <w:rPr>
          <w:rFonts w:hint="eastAsia" w:ascii="宋体" w:hAnsi="宋体" w:cs="Arial"/>
          <w:sz w:val="24"/>
        </w:rPr>
        <w:t>。</w:t>
      </w:r>
    </w:p>
    <w:p w14:paraId="2DD345C8">
      <w:pPr>
        <w:tabs>
          <w:tab w:val="right" w:pos="9070"/>
        </w:tabs>
        <w:spacing w:line="312" w:lineRule="auto"/>
        <w:ind w:firstLine="480"/>
        <w:rPr>
          <w:rFonts w:hint="eastAsia" w:ascii="宋体" w:hAnsi="宋体" w:cs="Arial"/>
          <w:sz w:val="24"/>
        </w:rPr>
      </w:pPr>
    </w:p>
    <w:p w14:paraId="43DBD27F">
      <w:pPr>
        <w:tabs>
          <w:tab w:val="left" w:pos="1694"/>
        </w:tabs>
        <w:spacing w:line="312" w:lineRule="auto"/>
        <w:ind w:left="1690" w:hanging="1689" w:hangingChars="704"/>
        <w:rPr>
          <w:rFonts w:ascii="宋体" w:hAnsi="宋体" w:cs="Arial"/>
          <w:sz w:val="24"/>
        </w:rPr>
      </w:pPr>
      <w:r>
        <w:rPr>
          <w:rFonts w:hint="eastAsia" w:ascii="宋体" w:hAnsi="宋体" w:cs="Arial"/>
          <w:sz w:val="24"/>
        </w:rPr>
        <w:t>第七条</w:t>
      </w:r>
      <w:r>
        <w:rPr>
          <w:rFonts w:hint="eastAsia" w:ascii="宋体" w:hAnsi="宋体" w:cs="Arial"/>
          <w:sz w:val="24"/>
        </w:rPr>
        <w:tab/>
      </w:r>
      <w:r>
        <w:rPr>
          <w:rFonts w:hint="eastAsia" w:ascii="宋体" w:hAnsi="宋体" w:cs="Arial"/>
          <w:sz w:val="24"/>
        </w:rPr>
        <w:t>薪酬与考核委员会任期与董事会任期一致, 委员任期届满, 连选可以连任。期间如有委员不再担任公司董事职务, 自动失去委员资格, 并由委员会根据本工作细则第四至第六条的规定补足委员人数。</w:t>
      </w:r>
    </w:p>
    <w:p w14:paraId="5890948E">
      <w:pPr>
        <w:tabs>
          <w:tab w:val="left" w:pos="1694"/>
        </w:tabs>
        <w:spacing w:line="312" w:lineRule="auto"/>
        <w:ind w:left="1690" w:hanging="1689" w:hangingChars="704"/>
        <w:rPr>
          <w:rFonts w:ascii="宋体" w:hAnsi="宋体" w:cs="Arial"/>
          <w:sz w:val="24"/>
        </w:rPr>
      </w:pPr>
    </w:p>
    <w:p w14:paraId="34FDADBE">
      <w:pPr>
        <w:tabs>
          <w:tab w:val="left" w:pos="1694"/>
        </w:tabs>
        <w:spacing w:line="312" w:lineRule="auto"/>
        <w:ind w:left="1470" w:leftChars="700"/>
        <w:rPr>
          <w:rFonts w:hint="eastAsia" w:ascii="宋体" w:hAnsi="宋体" w:cs="Arial"/>
          <w:sz w:val="24"/>
        </w:rPr>
      </w:pPr>
      <w:r>
        <w:rPr>
          <w:rFonts w:hint="eastAsia" w:ascii="宋体" w:hAnsi="宋体" w:cs="Arial"/>
          <w:sz w:val="24"/>
        </w:rPr>
        <w:t>《公司法》、《公司章程》关于董事义务的规定适用于委员会委员。</w:t>
      </w:r>
    </w:p>
    <w:p w14:paraId="032DFF77">
      <w:pPr>
        <w:tabs>
          <w:tab w:val="right" w:pos="9070"/>
        </w:tabs>
        <w:spacing w:line="312" w:lineRule="auto"/>
        <w:ind w:firstLine="480"/>
        <w:rPr>
          <w:rFonts w:hint="eastAsia" w:ascii="宋体" w:hAnsi="宋体" w:cs="Arial"/>
          <w:sz w:val="24"/>
        </w:rPr>
      </w:pPr>
    </w:p>
    <w:p w14:paraId="07364B58">
      <w:pPr>
        <w:tabs>
          <w:tab w:val="left" w:pos="1722"/>
        </w:tabs>
        <w:spacing w:line="312" w:lineRule="auto"/>
        <w:ind w:left="1690" w:hanging="1689" w:hangingChars="704"/>
        <w:rPr>
          <w:rFonts w:hint="eastAsia" w:ascii="宋体" w:hAnsi="宋体" w:cs="Arial"/>
          <w:sz w:val="24"/>
        </w:rPr>
      </w:pPr>
      <w:r>
        <w:rPr>
          <w:rFonts w:hint="eastAsia" w:ascii="宋体" w:hAnsi="宋体" w:cs="Arial"/>
          <w:sz w:val="24"/>
        </w:rPr>
        <w:t>第八条</w:t>
      </w:r>
      <w:r>
        <w:rPr>
          <w:rFonts w:hint="eastAsia" w:ascii="宋体" w:hAnsi="宋体" w:cs="Arial"/>
          <w:sz w:val="24"/>
        </w:rPr>
        <w:tab/>
      </w:r>
      <w:r>
        <w:rPr>
          <w:rFonts w:hint="eastAsia" w:ascii="宋体" w:hAnsi="宋体" w:cs="Arial"/>
          <w:sz w:val="24"/>
        </w:rPr>
        <w:t>薪酬与考核委员会下设工作组, 专门负责提供公司有关经营方面的资料及被考评人员的有关资料, 负责筹备薪酬与考核委员会会议并执行薪酬与考核委员会的有关决议。</w:t>
      </w:r>
    </w:p>
    <w:p w14:paraId="3CF99836">
      <w:pPr>
        <w:tabs>
          <w:tab w:val="right" w:pos="9070"/>
        </w:tabs>
        <w:spacing w:line="312" w:lineRule="auto"/>
        <w:ind w:firstLine="480"/>
        <w:rPr>
          <w:rFonts w:hint="eastAsia" w:ascii="宋体" w:hAnsi="宋体" w:cs="Arial"/>
          <w:sz w:val="24"/>
        </w:rPr>
      </w:pPr>
    </w:p>
    <w:p w14:paraId="3C23BF3C">
      <w:pPr>
        <w:tabs>
          <w:tab w:val="right" w:pos="9070"/>
        </w:tabs>
        <w:spacing w:line="312" w:lineRule="auto"/>
        <w:ind w:firstLine="480"/>
        <w:jc w:val="center"/>
        <w:rPr>
          <w:rFonts w:hint="eastAsia" w:ascii="宋体" w:hAnsi="宋体" w:cs="Arial"/>
          <w:b/>
          <w:bCs/>
          <w:sz w:val="24"/>
        </w:rPr>
      </w:pPr>
      <w:r>
        <w:rPr>
          <w:rFonts w:hint="eastAsia" w:ascii="宋体" w:hAnsi="宋体" w:cs="Arial"/>
          <w:b/>
          <w:bCs/>
          <w:sz w:val="24"/>
        </w:rPr>
        <w:t>第三章  职责权限</w:t>
      </w:r>
    </w:p>
    <w:p w14:paraId="4140ADBB">
      <w:pPr>
        <w:tabs>
          <w:tab w:val="right" w:pos="9070"/>
        </w:tabs>
        <w:spacing w:line="312" w:lineRule="auto"/>
        <w:ind w:firstLine="480"/>
        <w:rPr>
          <w:rFonts w:hint="eastAsia" w:ascii="宋体" w:hAnsi="宋体" w:cs="Arial"/>
          <w:sz w:val="24"/>
        </w:rPr>
      </w:pPr>
    </w:p>
    <w:p w14:paraId="1CC82332">
      <w:pPr>
        <w:tabs>
          <w:tab w:val="left" w:pos="1620"/>
        </w:tabs>
        <w:spacing w:line="312" w:lineRule="auto"/>
        <w:ind w:left="1690" w:hanging="1689" w:hangingChars="704"/>
        <w:rPr>
          <w:rFonts w:hint="eastAsia" w:ascii="宋体" w:hAnsi="宋体" w:cs="Arial"/>
          <w:sz w:val="24"/>
        </w:rPr>
      </w:pPr>
      <w:r>
        <w:rPr>
          <w:rFonts w:hint="eastAsia" w:ascii="宋体" w:hAnsi="宋体" w:cs="Arial"/>
          <w:sz w:val="24"/>
        </w:rPr>
        <w:t>第九条</w:t>
      </w:r>
      <w:r>
        <w:rPr>
          <w:rFonts w:hint="eastAsia" w:ascii="宋体" w:hAnsi="宋体" w:cs="Arial"/>
          <w:sz w:val="24"/>
        </w:rPr>
        <w:tab/>
      </w:r>
      <w:r>
        <w:rPr>
          <w:rFonts w:hint="eastAsia" w:ascii="宋体" w:hAnsi="宋体" w:cs="Arial"/>
          <w:sz w:val="24"/>
        </w:rPr>
        <w:t>薪酬与考核委员会负责制定董事、高级管理人员的考核标准并进行考核, 制定、审查董事、高级管理人员的薪酬决定机制、决策流程、支付与止付追索安排等薪酬政策与方案, 并就下列事项向董事会提出建议:</w:t>
      </w:r>
    </w:p>
    <w:p w14:paraId="31F169BE">
      <w:pPr>
        <w:numPr>
          <w:ilvl w:val="0"/>
          <w:numId w:val="1"/>
        </w:numPr>
        <w:tabs>
          <w:tab w:val="left" w:pos="2520"/>
          <w:tab w:val="clear" w:pos="1470"/>
        </w:tabs>
        <w:adjustRightInd w:val="0"/>
        <w:spacing w:line="312" w:lineRule="auto"/>
        <w:ind w:left="2520" w:hanging="900"/>
        <w:textAlignment w:val="baseline"/>
        <w:rPr>
          <w:rFonts w:ascii="宋体" w:hAnsi="宋体" w:cs="Arial"/>
          <w:sz w:val="24"/>
        </w:rPr>
      </w:pPr>
      <w:r>
        <w:rPr>
          <w:rFonts w:hint="eastAsia" w:ascii="宋体" w:hAnsi="宋体" w:cs="Arial"/>
          <w:sz w:val="24"/>
        </w:rPr>
        <w:t>董事、高级管理人员的薪酬</w:t>
      </w:r>
      <w:r>
        <w:rPr>
          <w:rFonts w:ascii="宋体" w:hAnsi="宋体" w:cs="Arial"/>
          <w:sz w:val="24"/>
        </w:rPr>
        <w:t>;</w:t>
      </w:r>
    </w:p>
    <w:p w14:paraId="69222D4F">
      <w:pPr>
        <w:numPr>
          <w:ilvl w:val="0"/>
          <w:numId w:val="1"/>
        </w:numPr>
        <w:tabs>
          <w:tab w:val="left" w:pos="2520"/>
          <w:tab w:val="clear" w:pos="1470"/>
        </w:tabs>
        <w:adjustRightInd w:val="0"/>
        <w:spacing w:line="312" w:lineRule="auto"/>
        <w:ind w:left="2520" w:hanging="900"/>
        <w:textAlignment w:val="baseline"/>
        <w:rPr>
          <w:rFonts w:ascii="宋体" w:hAnsi="宋体" w:cs="Arial"/>
          <w:sz w:val="24"/>
        </w:rPr>
      </w:pPr>
      <w:r>
        <w:rPr>
          <w:rFonts w:hint="eastAsia" w:ascii="宋体" w:hAnsi="宋体" w:cs="Arial"/>
          <w:sz w:val="24"/>
        </w:rPr>
        <w:t>制定或者变更股权激励计划、员工持股计划, 激励对象获授权益、行使权益条件的成就</w:t>
      </w:r>
      <w:r>
        <w:rPr>
          <w:rFonts w:ascii="宋体" w:hAnsi="宋体" w:cs="Arial"/>
          <w:sz w:val="24"/>
        </w:rPr>
        <w:t>;</w:t>
      </w:r>
    </w:p>
    <w:p w14:paraId="5A918186">
      <w:pPr>
        <w:numPr>
          <w:ilvl w:val="0"/>
          <w:numId w:val="1"/>
        </w:numPr>
        <w:tabs>
          <w:tab w:val="left" w:pos="2520"/>
          <w:tab w:val="clear" w:pos="1470"/>
        </w:tabs>
        <w:adjustRightInd w:val="0"/>
        <w:spacing w:line="312" w:lineRule="auto"/>
        <w:ind w:left="2340" w:hanging="720"/>
        <w:textAlignment w:val="baseline"/>
        <w:rPr>
          <w:rFonts w:ascii="宋体" w:hAnsi="宋体" w:cs="Arial"/>
          <w:sz w:val="24"/>
        </w:rPr>
      </w:pPr>
      <w:r>
        <w:rPr>
          <w:rFonts w:hint="eastAsia" w:ascii="宋体" w:hAnsi="宋体" w:cs="Arial"/>
          <w:sz w:val="24"/>
        </w:rPr>
        <w:t>董事、高级管理人员在拟分拆所属子公司安排持股计划</w:t>
      </w:r>
      <w:r>
        <w:rPr>
          <w:rFonts w:ascii="宋体" w:hAnsi="宋体" w:cs="Arial"/>
          <w:sz w:val="24"/>
        </w:rPr>
        <w:t>;</w:t>
      </w:r>
    </w:p>
    <w:p w14:paraId="17908E6C">
      <w:pPr>
        <w:numPr>
          <w:ilvl w:val="0"/>
          <w:numId w:val="1"/>
        </w:numPr>
        <w:tabs>
          <w:tab w:val="left" w:pos="2520"/>
          <w:tab w:val="clear" w:pos="1470"/>
        </w:tabs>
        <w:adjustRightInd w:val="0"/>
        <w:spacing w:line="312" w:lineRule="auto"/>
        <w:ind w:left="2340" w:hanging="720"/>
        <w:textAlignment w:val="baseline"/>
        <w:rPr>
          <w:rFonts w:ascii="宋体" w:hAnsi="宋体" w:cs="Arial"/>
          <w:sz w:val="24"/>
        </w:rPr>
      </w:pPr>
      <w:r>
        <w:rPr>
          <w:rFonts w:hint="eastAsia" w:ascii="宋体" w:hAnsi="宋体" w:cs="Arial"/>
          <w:sz w:val="24"/>
        </w:rPr>
        <w:t>法律、行政法规、中国证监会、深圳证券交易所规定和《公司章程》规定的其他事项</w:t>
      </w:r>
      <w:r>
        <w:rPr>
          <w:rFonts w:ascii="宋体" w:hAnsi="宋体" w:cs="Arial"/>
          <w:sz w:val="24"/>
        </w:rPr>
        <w:t>;</w:t>
      </w:r>
    </w:p>
    <w:p w14:paraId="23122711">
      <w:pPr>
        <w:tabs>
          <w:tab w:val="left" w:pos="2520"/>
        </w:tabs>
        <w:adjustRightInd w:val="0"/>
        <w:spacing w:line="312" w:lineRule="auto"/>
        <w:ind w:left="1620"/>
        <w:textAlignment w:val="baseline"/>
        <w:rPr>
          <w:rFonts w:ascii="宋体" w:hAnsi="宋体" w:cs="Arial"/>
          <w:sz w:val="24"/>
        </w:rPr>
      </w:pPr>
    </w:p>
    <w:p w14:paraId="57D2AA93">
      <w:pPr>
        <w:tabs>
          <w:tab w:val="left" w:pos="2520"/>
        </w:tabs>
        <w:adjustRightInd w:val="0"/>
        <w:spacing w:line="312" w:lineRule="auto"/>
        <w:ind w:left="1620"/>
        <w:textAlignment w:val="baseline"/>
        <w:rPr>
          <w:rFonts w:hint="eastAsia" w:ascii="宋体" w:hAnsi="宋体" w:cs="Arial"/>
          <w:sz w:val="24"/>
        </w:rPr>
      </w:pPr>
      <w:r>
        <w:rPr>
          <w:rFonts w:hint="eastAsia" w:ascii="宋体" w:hAnsi="宋体" w:cs="Arial"/>
          <w:sz w:val="24"/>
        </w:rPr>
        <w:t>董事会对薪酬与考核委员会的建议未采纳或者未完全采纳的, 应当在董事会决议中记载薪酬与考核委员会的意见及未采纳的具体理由, 并进行披露。</w:t>
      </w:r>
    </w:p>
    <w:p w14:paraId="2FAFFFE2">
      <w:pPr>
        <w:tabs>
          <w:tab w:val="left" w:pos="2520"/>
        </w:tabs>
        <w:spacing w:line="312" w:lineRule="auto"/>
        <w:rPr>
          <w:rFonts w:ascii="宋体" w:hAnsi="宋体" w:cs="Arial"/>
          <w:sz w:val="24"/>
        </w:rPr>
      </w:pPr>
    </w:p>
    <w:p w14:paraId="53D2434B">
      <w:pPr>
        <w:tabs>
          <w:tab w:val="left" w:pos="1080"/>
        </w:tabs>
        <w:spacing w:line="312" w:lineRule="auto"/>
        <w:ind w:left="1126" w:hanging="1125" w:hangingChars="469"/>
        <w:rPr>
          <w:rFonts w:ascii="宋体" w:hAnsi="宋体" w:cs="Arial"/>
          <w:sz w:val="24"/>
        </w:rPr>
      </w:pPr>
    </w:p>
    <w:p w14:paraId="622EE824">
      <w:pPr>
        <w:tabs>
          <w:tab w:val="left" w:pos="1701"/>
        </w:tabs>
        <w:spacing w:line="312" w:lineRule="auto"/>
        <w:ind w:left="1690" w:hanging="1689" w:hangingChars="704"/>
        <w:rPr>
          <w:rFonts w:hint="eastAsia" w:ascii="宋体" w:hAnsi="宋体" w:cs="Arial"/>
          <w:sz w:val="24"/>
        </w:rPr>
      </w:pPr>
      <w:r>
        <w:rPr>
          <w:rFonts w:hint="eastAsia" w:ascii="宋体" w:hAnsi="宋体" w:cs="Arial"/>
          <w:sz w:val="24"/>
        </w:rPr>
        <w:t>第十条</w:t>
      </w:r>
      <w:r>
        <w:rPr>
          <w:rFonts w:hint="eastAsia" w:ascii="宋体" w:hAnsi="宋体" w:cs="Arial"/>
          <w:sz w:val="24"/>
        </w:rPr>
        <w:tab/>
      </w:r>
      <w:r>
        <w:rPr>
          <w:rFonts w:hint="eastAsia" w:ascii="宋体" w:hAnsi="宋体" w:cs="Arial"/>
          <w:sz w:val="24"/>
        </w:rPr>
        <w:t>董事会有权否决损害股东利益的薪酬计划或方案。</w:t>
      </w:r>
    </w:p>
    <w:p w14:paraId="3455E75D">
      <w:pPr>
        <w:tabs>
          <w:tab w:val="right" w:pos="9070"/>
        </w:tabs>
        <w:spacing w:line="312" w:lineRule="auto"/>
        <w:ind w:firstLine="480"/>
        <w:rPr>
          <w:rFonts w:hint="eastAsia" w:ascii="宋体" w:hAnsi="宋体" w:cs="Arial"/>
          <w:sz w:val="24"/>
        </w:rPr>
      </w:pPr>
    </w:p>
    <w:p w14:paraId="7011ED36">
      <w:pPr>
        <w:tabs>
          <w:tab w:val="left" w:pos="1722"/>
        </w:tabs>
        <w:spacing w:line="312" w:lineRule="auto"/>
        <w:ind w:left="1690" w:hanging="1689" w:hangingChars="704"/>
        <w:rPr>
          <w:rFonts w:hint="eastAsia" w:ascii="宋体" w:hAnsi="宋体" w:cs="Arial"/>
          <w:sz w:val="24"/>
        </w:rPr>
      </w:pPr>
      <w:r>
        <w:rPr>
          <w:rFonts w:hint="eastAsia" w:ascii="宋体" w:hAnsi="宋体" w:cs="Arial"/>
          <w:sz w:val="24"/>
        </w:rPr>
        <w:t>第十一条</w:t>
      </w:r>
      <w:r>
        <w:rPr>
          <w:rFonts w:hint="eastAsia" w:ascii="宋体" w:hAnsi="宋体" w:cs="Arial"/>
          <w:sz w:val="24"/>
        </w:rPr>
        <w:tab/>
      </w:r>
      <w:r>
        <w:rPr>
          <w:rFonts w:hint="eastAsia" w:ascii="宋体" w:hAnsi="宋体" w:cs="Arial"/>
          <w:sz w:val="24"/>
        </w:rPr>
        <w:t>薪酬与考核委员会对董事会负责。委员会提出的公司董事的薪酬计划, 须报经董事会同意后, 提交股东会审议通过后方可实施; 公司经理人员的薪酬分配方案须报董事会批准。</w:t>
      </w:r>
    </w:p>
    <w:p w14:paraId="5C37D0F8">
      <w:pPr>
        <w:tabs>
          <w:tab w:val="right" w:pos="9070"/>
        </w:tabs>
        <w:spacing w:line="312" w:lineRule="auto"/>
        <w:ind w:firstLine="480"/>
        <w:rPr>
          <w:rFonts w:hint="eastAsia" w:ascii="宋体" w:hAnsi="宋体" w:cs="Arial"/>
          <w:sz w:val="24"/>
        </w:rPr>
      </w:pPr>
    </w:p>
    <w:p w14:paraId="44B565B4">
      <w:pPr>
        <w:tabs>
          <w:tab w:val="right" w:pos="9070"/>
        </w:tabs>
        <w:spacing w:line="312" w:lineRule="auto"/>
        <w:ind w:firstLine="480"/>
        <w:jc w:val="center"/>
        <w:rPr>
          <w:rFonts w:hint="eastAsia" w:ascii="宋体" w:hAnsi="宋体" w:cs="Arial"/>
          <w:b/>
          <w:bCs/>
          <w:sz w:val="24"/>
        </w:rPr>
      </w:pPr>
      <w:r>
        <w:rPr>
          <w:rFonts w:hint="eastAsia" w:ascii="宋体" w:hAnsi="宋体" w:cs="Arial"/>
          <w:b/>
          <w:bCs/>
          <w:sz w:val="24"/>
        </w:rPr>
        <w:t>第四章  决策程序</w:t>
      </w:r>
    </w:p>
    <w:p w14:paraId="3453FBC0">
      <w:pPr>
        <w:tabs>
          <w:tab w:val="right" w:pos="9070"/>
        </w:tabs>
        <w:spacing w:line="312" w:lineRule="auto"/>
        <w:ind w:firstLine="480"/>
        <w:rPr>
          <w:rFonts w:hint="eastAsia" w:ascii="宋体" w:hAnsi="宋体" w:cs="Arial"/>
          <w:sz w:val="24"/>
        </w:rPr>
      </w:pPr>
    </w:p>
    <w:p w14:paraId="0460A63A">
      <w:pPr>
        <w:tabs>
          <w:tab w:val="left" w:pos="1708"/>
        </w:tabs>
        <w:spacing w:line="312" w:lineRule="auto"/>
        <w:ind w:left="1690" w:hanging="1689" w:hangingChars="704"/>
        <w:rPr>
          <w:rFonts w:hint="eastAsia" w:ascii="宋体" w:hAnsi="宋体" w:cs="Arial"/>
          <w:sz w:val="24"/>
        </w:rPr>
      </w:pPr>
      <w:r>
        <w:rPr>
          <w:rFonts w:hint="eastAsia" w:ascii="宋体" w:hAnsi="宋体" w:cs="Arial"/>
          <w:sz w:val="24"/>
        </w:rPr>
        <w:t>第十二条</w:t>
      </w:r>
      <w:r>
        <w:rPr>
          <w:rFonts w:hint="eastAsia" w:ascii="宋体" w:hAnsi="宋体" w:cs="Arial"/>
          <w:sz w:val="24"/>
        </w:rPr>
        <w:tab/>
      </w:r>
      <w:r>
        <w:rPr>
          <w:rFonts w:hint="eastAsia" w:ascii="宋体" w:hAnsi="宋体" w:cs="Arial"/>
          <w:sz w:val="24"/>
        </w:rPr>
        <w:t>薪酬与考核委员会下设的工作组负责做好对公司董事和高级管理人员考评的前期准备工作, 提供公司有关方面的资料:</w:t>
      </w:r>
    </w:p>
    <w:p w14:paraId="65C5B241">
      <w:pPr>
        <w:numPr>
          <w:ilvl w:val="0"/>
          <w:numId w:val="2"/>
        </w:numPr>
        <w:tabs>
          <w:tab w:val="left" w:pos="1440"/>
          <w:tab w:val="right" w:pos="2520"/>
          <w:tab w:val="clear" w:pos="975"/>
        </w:tabs>
        <w:adjustRightInd w:val="0"/>
        <w:spacing w:line="312" w:lineRule="auto"/>
        <w:ind w:left="2520" w:hanging="900"/>
        <w:textAlignment w:val="baseline"/>
        <w:rPr>
          <w:rFonts w:hint="eastAsia" w:ascii="宋体" w:hAnsi="宋体" w:cs="Arial"/>
          <w:sz w:val="24"/>
        </w:rPr>
      </w:pPr>
      <w:r>
        <w:rPr>
          <w:rFonts w:hint="eastAsia" w:ascii="宋体" w:hAnsi="宋体" w:cs="Arial"/>
          <w:sz w:val="24"/>
        </w:rPr>
        <w:t>提供公司主要财务指标和经营目标完成情况;</w:t>
      </w:r>
    </w:p>
    <w:p w14:paraId="18FCD238">
      <w:pPr>
        <w:numPr>
          <w:ilvl w:val="0"/>
          <w:numId w:val="2"/>
        </w:numPr>
        <w:tabs>
          <w:tab w:val="left" w:pos="1440"/>
          <w:tab w:val="right" w:pos="2520"/>
          <w:tab w:val="clear" w:pos="975"/>
        </w:tabs>
        <w:adjustRightInd w:val="0"/>
        <w:spacing w:line="312" w:lineRule="auto"/>
        <w:ind w:left="2520" w:hanging="900"/>
        <w:textAlignment w:val="baseline"/>
        <w:rPr>
          <w:rFonts w:hint="eastAsia" w:ascii="宋体" w:hAnsi="宋体" w:cs="Arial"/>
          <w:sz w:val="24"/>
        </w:rPr>
      </w:pPr>
      <w:r>
        <w:rPr>
          <w:rFonts w:hint="eastAsia" w:ascii="宋体" w:hAnsi="宋体" w:cs="Arial"/>
          <w:sz w:val="24"/>
        </w:rPr>
        <w:t>公司高级管理人员分管工作范围及主要职责情况;</w:t>
      </w:r>
    </w:p>
    <w:p w14:paraId="04C96909">
      <w:pPr>
        <w:numPr>
          <w:ilvl w:val="0"/>
          <w:numId w:val="2"/>
        </w:numPr>
        <w:tabs>
          <w:tab w:val="left" w:pos="1440"/>
          <w:tab w:val="right" w:pos="2520"/>
          <w:tab w:val="clear" w:pos="975"/>
        </w:tabs>
        <w:adjustRightInd w:val="0"/>
        <w:spacing w:line="312" w:lineRule="auto"/>
        <w:ind w:left="2520" w:hanging="900"/>
        <w:textAlignment w:val="baseline"/>
        <w:rPr>
          <w:rFonts w:hint="eastAsia" w:ascii="宋体" w:hAnsi="宋体" w:cs="Arial"/>
          <w:sz w:val="24"/>
        </w:rPr>
      </w:pPr>
      <w:r>
        <w:rPr>
          <w:rFonts w:hint="eastAsia" w:ascii="宋体" w:hAnsi="宋体" w:cs="Arial"/>
          <w:sz w:val="24"/>
        </w:rPr>
        <w:t>提供董事及高级管理人员岗位工作业绩考评系统中涉及指标的完成情况;</w:t>
      </w:r>
    </w:p>
    <w:p w14:paraId="7406A0BA">
      <w:pPr>
        <w:numPr>
          <w:ilvl w:val="0"/>
          <w:numId w:val="2"/>
        </w:numPr>
        <w:tabs>
          <w:tab w:val="left" w:pos="1440"/>
          <w:tab w:val="right" w:pos="2520"/>
          <w:tab w:val="clear" w:pos="975"/>
        </w:tabs>
        <w:adjustRightInd w:val="0"/>
        <w:spacing w:line="312" w:lineRule="auto"/>
        <w:ind w:left="2520" w:hanging="900"/>
        <w:textAlignment w:val="baseline"/>
        <w:rPr>
          <w:rFonts w:hint="eastAsia" w:ascii="宋体" w:hAnsi="宋体" w:cs="Arial"/>
          <w:sz w:val="24"/>
        </w:rPr>
      </w:pPr>
      <w:r>
        <w:rPr>
          <w:rFonts w:hint="eastAsia" w:ascii="宋体" w:hAnsi="宋体" w:cs="Arial"/>
          <w:sz w:val="24"/>
        </w:rPr>
        <w:t>提供董事及高级管理人员的业务创新能力和创利能力的经营绩效情况;</w:t>
      </w:r>
    </w:p>
    <w:p w14:paraId="29889BBF">
      <w:pPr>
        <w:numPr>
          <w:ilvl w:val="0"/>
          <w:numId w:val="2"/>
        </w:numPr>
        <w:tabs>
          <w:tab w:val="left" w:pos="1440"/>
          <w:tab w:val="right" w:pos="2520"/>
          <w:tab w:val="clear" w:pos="975"/>
        </w:tabs>
        <w:adjustRightInd w:val="0"/>
        <w:spacing w:line="312" w:lineRule="auto"/>
        <w:ind w:left="2520" w:hanging="900"/>
        <w:textAlignment w:val="baseline"/>
        <w:rPr>
          <w:rFonts w:hint="eastAsia" w:ascii="宋体" w:hAnsi="宋体" w:cs="Arial"/>
          <w:sz w:val="24"/>
        </w:rPr>
      </w:pPr>
      <w:r>
        <w:rPr>
          <w:rFonts w:hint="eastAsia" w:ascii="宋体" w:hAnsi="宋体" w:cs="Arial"/>
          <w:sz w:val="24"/>
        </w:rPr>
        <w:t>提供按公司业绩拟订公司薪酬分配规划和分配方式的有关测算依据</w:t>
      </w:r>
    </w:p>
    <w:p w14:paraId="33A492B5">
      <w:pPr>
        <w:tabs>
          <w:tab w:val="right" w:pos="9070"/>
        </w:tabs>
        <w:spacing w:line="312" w:lineRule="auto"/>
        <w:ind w:left="480"/>
        <w:rPr>
          <w:rFonts w:hint="eastAsia" w:ascii="宋体" w:hAnsi="宋体" w:cs="Arial"/>
          <w:sz w:val="24"/>
        </w:rPr>
      </w:pPr>
    </w:p>
    <w:p w14:paraId="15C1A6B8">
      <w:pPr>
        <w:tabs>
          <w:tab w:val="left" w:pos="1620"/>
        </w:tabs>
        <w:spacing w:line="312" w:lineRule="auto"/>
        <w:ind w:left="1690" w:hanging="1689" w:hangingChars="704"/>
        <w:rPr>
          <w:rFonts w:hint="eastAsia" w:ascii="宋体" w:hAnsi="宋体" w:cs="Arial"/>
          <w:sz w:val="24"/>
        </w:rPr>
      </w:pPr>
      <w:r>
        <w:rPr>
          <w:rFonts w:hint="eastAsia" w:ascii="宋体" w:hAnsi="宋体" w:cs="Arial"/>
          <w:sz w:val="24"/>
        </w:rPr>
        <w:t>第十三条</w:t>
      </w:r>
      <w:r>
        <w:rPr>
          <w:rFonts w:hint="eastAsia" w:ascii="宋体" w:hAnsi="宋体" w:cs="Arial"/>
          <w:sz w:val="24"/>
        </w:rPr>
        <w:tab/>
      </w:r>
      <w:r>
        <w:rPr>
          <w:rFonts w:hint="eastAsia" w:ascii="宋体" w:hAnsi="宋体" w:cs="Arial"/>
          <w:sz w:val="24"/>
        </w:rPr>
        <w:t>薪酬与考核委员会对董事和高级管理人员考评程序:</w:t>
      </w:r>
    </w:p>
    <w:p w14:paraId="678668CC">
      <w:pPr>
        <w:numPr>
          <w:ilvl w:val="0"/>
          <w:numId w:val="3"/>
        </w:numPr>
        <w:tabs>
          <w:tab w:val="left" w:pos="1620"/>
          <w:tab w:val="right" w:pos="2520"/>
          <w:tab w:val="clear" w:pos="975"/>
        </w:tabs>
        <w:adjustRightInd w:val="0"/>
        <w:spacing w:line="312" w:lineRule="auto"/>
        <w:ind w:left="2520" w:hanging="900"/>
        <w:textAlignment w:val="baseline"/>
        <w:rPr>
          <w:rFonts w:hint="eastAsia" w:ascii="宋体" w:hAnsi="宋体" w:cs="Arial"/>
          <w:sz w:val="24"/>
        </w:rPr>
      </w:pPr>
      <w:r>
        <w:rPr>
          <w:rFonts w:hint="eastAsia" w:ascii="宋体" w:hAnsi="宋体" w:cs="Arial"/>
          <w:sz w:val="24"/>
        </w:rPr>
        <w:t>公司董事和高级管理人员向董事会薪酬与考核委员会作述职和自</w:t>
      </w:r>
      <w:r>
        <w:rPr>
          <w:rFonts w:hint="eastAsia" w:ascii="宋体" w:hAnsi="宋体" w:cs="Arial"/>
          <w:sz w:val="24"/>
          <w:lang w:val="en-US" w:eastAsia="zh-CN"/>
        </w:rPr>
        <w:t>我</w:t>
      </w:r>
      <w:r>
        <w:rPr>
          <w:rFonts w:hint="eastAsia" w:ascii="宋体" w:hAnsi="宋体" w:cs="Arial"/>
          <w:sz w:val="24"/>
        </w:rPr>
        <w:t>评价;</w:t>
      </w:r>
    </w:p>
    <w:p w14:paraId="135FFBD6">
      <w:pPr>
        <w:numPr>
          <w:ilvl w:val="0"/>
          <w:numId w:val="3"/>
        </w:numPr>
        <w:tabs>
          <w:tab w:val="left" w:pos="1620"/>
          <w:tab w:val="right" w:pos="2520"/>
          <w:tab w:val="clear" w:pos="975"/>
        </w:tabs>
        <w:adjustRightInd w:val="0"/>
        <w:spacing w:line="312" w:lineRule="auto"/>
        <w:ind w:left="2520" w:hanging="900"/>
        <w:textAlignment w:val="baseline"/>
        <w:rPr>
          <w:rFonts w:hint="eastAsia" w:ascii="宋体" w:hAnsi="宋体" w:cs="Arial"/>
          <w:sz w:val="24"/>
        </w:rPr>
      </w:pPr>
      <w:r>
        <w:rPr>
          <w:rFonts w:hint="eastAsia" w:ascii="宋体" w:hAnsi="宋体" w:cs="Arial"/>
          <w:sz w:val="24"/>
        </w:rPr>
        <w:t>薪酬与考核委员会按绩效评价标准和程序, 对董事及高级管理人员进行绩效评价;</w:t>
      </w:r>
    </w:p>
    <w:p w14:paraId="048BDDE3">
      <w:pPr>
        <w:numPr>
          <w:ilvl w:val="0"/>
          <w:numId w:val="3"/>
        </w:numPr>
        <w:tabs>
          <w:tab w:val="left" w:pos="1620"/>
          <w:tab w:val="right" w:pos="2520"/>
          <w:tab w:val="clear" w:pos="975"/>
        </w:tabs>
        <w:adjustRightInd w:val="0"/>
        <w:spacing w:line="312" w:lineRule="auto"/>
        <w:ind w:left="2520" w:hanging="900"/>
        <w:textAlignment w:val="baseline"/>
        <w:rPr>
          <w:rFonts w:hint="eastAsia" w:ascii="宋体" w:hAnsi="宋体" w:cs="Arial"/>
          <w:sz w:val="24"/>
        </w:rPr>
      </w:pPr>
      <w:r>
        <w:rPr>
          <w:rFonts w:hint="eastAsia" w:ascii="宋体" w:hAnsi="宋体" w:cs="Arial"/>
          <w:sz w:val="24"/>
        </w:rPr>
        <w:t>根据岗位绩效评价结果及薪酬分配政策提出董事及高级管理人员的报酬数额和奖励方式, 表决通过后, 报公司董事会。</w:t>
      </w:r>
    </w:p>
    <w:p w14:paraId="6D7088A5">
      <w:pPr>
        <w:tabs>
          <w:tab w:val="right" w:pos="9070"/>
        </w:tabs>
        <w:spacing w:line="312" w:lineRule="auto"/>
        <w:ind w:firstLine="480"/>
        <w:rPr>
          <w:rFonts w:hint="eastAsia" w:ascii="宋体" w:hAnsi="宋体" w:cs="Arial"/>
          <w:sz w:val="24"/>
        </w:rPr>
      </w:pPr>
    </w:p>
    <w:p w14:paraId="471B9778">
      <w:pPr>
        <w:tabs>
          <w:tab w:val="right" w:pos="9070"/>
        </w:tabs>
        <w:spacing w:line="312" w:lineRule="auto"/>
        <w:ind w:firstLine="480"/>
        <w:jc w:val="center"/>
        <w:rPr>
          <w:rFonts w:hint="eastAsia" w:ascii="宋体" w:hAnsi="宋体" w:cs="Arial"/>
          <w:b/>
          <w:bCs/>
          <w:sz w:val="24"/>
        </w:rPr>
      </w:pPr>
      <w:r>
        <w:rPr>
          <w:rFonts w:hint="eastAsia" w:ascii="宋体" w:hAnsi="宋体" w:cs="Arial"/>
          <w:b/>
          <w:bCs/>
          <w:sz w:val="24"/>
        </w:rPr>
        <w:t>第五章  议事程序</w:t>
      </w:r>
    </w:p>
    <w:p w14:paraId="1D0927C3">
      <w:pPr>
        <w:tabs>
          <w:tab w:val="right" w:pos="9070"/>
        </w:tabs>
        <w:spacing w:line="312" w:lineRule="auto"/>
        <w:ind w:firstLine="480"/>
        <w:rPr>
          <w:rFonts w:hint="eastAsia" w:ascii="宋体" w:hAnsi="宋体" w:cs="Arial"/>
          <w:sz w:val="24"/>
        </w:rPr>
      </w:pPr>
    </w:p>
    <w:p w14:paraId="3D971815">
      <w:pPr>
        <w:tabs>
          <w:tab w:val="left" w:pos="1666"/>
        </w:tabs>
        <w:spacing w:line="312" w:lineRule="auto"/>
        <w:ind w:left="1690" w:hanging="1689" w:hangingChars="704"/>
        <w:rPr>
          <w:rFonts w:hint="eastAsia" w:ascii="宋体" w:hAnsi="宋体" w:cs="Arial"/>
          <w:sz w:val="24"/>
        </w:rPr>
      </w:pPr>
      <w:r>
        <w:rPr>
          <w:rFonts w:hint="eastAsia" w:ascii="宋体" w:hAnsi="宋体" w:cs="Arial"/>
          <w:sz w:val="24"/>
        </w:rPr>
        <w:t>第十四条</w:t>
      </w:r>
      <w:r>
        <w:rPr>
          <w:rFonts w:hint="eastAsia" w:ascii="宋体" w:hAnsi="宋体" w:cs="Arial"/>
          <w:sz w:val="24"/>
        </w:rPr>
        <w:tab/>
      </w:r>
      <w:r>
        <w:rPr>
          <w:rFonts w:hint="eastAsia" w:ascii="宋体" w:hAnsi="宋体" w:cs="Arial"/>
          <w:sz w:val="24"/>
        </w:rPr>
        <w:t>薪酬与考核委员会会议分为例会与临时会议。例会每年至少召开一次, 临时会议由薪酬与考核委员会委员提议召开。例会于会议召开前七日(不包括开会当日)通知全体委员, 临时会议于会议召开前两日(不包括开会当日)通知全体委员,</w:t>
      </w:r>
      <w:r>
        <w:rPr>
          <w:rFonts w:ascii="宋体" w:hAnsi="宋体" w:cs="Arial"/>
          <w:sz w:val="24"/>
        </w:rPr>
        <w:t xml:space="preserve"> </w:t>
      </w:r>
      <w:r>
        <w:rPr>
          <w:rFonts w:hint="eastAsia" w:ascii="宋体" w:hAnsi="宋体" w:cs="Arial"/>
          <w:sz w:val="24"/>
        </w:rPr>
        <w:t>经全体委员一致同意, 可免除前述通知期限要求。会议由主任委员主持, 主任委员不能出席时可委托其他一名委员(独立董事)主持。</w:t>
      </w:r>
    </w:p>
    <w:p w14:paraId="7AB9A427">
      <w:pPr>
        <w:tabs>
          <w:tab w:val="right" w:pos="9070"/>
        </w:tabs>
        <w:spacing w:line="312" w:lineRule="auto"/>
        <w:ind w:firstLine="480"/>
        <w:rPr>
          <w:rFonts w:hint="eastAsia" w:ascii="宋体" w:hAnsi="宋体" w:cs="Arial"/>
          <w:sz w:val="24"/>
        </w:rPr>
      </w:pPr>
    </w:p>
    <w:p w14:paraId="06E53C8E">
      <w:pPr>
        <w:tabs>
          <w:tab w:val="left" w:pos="1736"/>
        </w:tabs>
        <w:spacing w:line="312" w:lineRule="auto"/>
        <w:ind w:left="1690" w:hanging="1689" w:hangingChars="704"/>
        <w:rPr>
          <w:rFonts w:ascii="宋体" w:hAnsi="宋体" w:cs="Arial"/>
          <w:sz w:val="24"/>
        </w:rPr>
      </w:pPr>
      <w:r>
        <w:rPr>
          <w:rFonts w:hint="eastAsia" w:ascii="宋体" w:hAnsi="宋体" w:cs="Arial"/>
          <w:sz w:val="24"/>
        </w:rPr>
        <w:t>第十五条</w:t>
      </w:r>
      <w:r>
        <w:rPr>
          <w:rFonts w:hint="eastAsia" w:ascii="宋体" w:hAnsi="宋体" w:cs="Arial"/>
          <w:sz w:val="24"/>
        </w:rPr>
        <w:tab/>
      </w:r>
      <w:r>
        <w:rPr>
          <w:rFonts w:hint="eastAsia" w:ascii="宋体" w:hAnsi="宋体" w:cs="Arial"/>
          <w:sz w:val="24"/>
        </w:rPr>
        <w:t>薪酬与考核委员会会议应由三分之二以上的委员出席方可举行; 每一名委员有一票的表决权; 会议做出的决议, 必须经全体委员(包括未出席会议的委员)的过半数通过。</w:t>
      </w:r>
    </w:p>
    <w:p w14:paraId="27E062CB">
      <w:pPr>
        <w:tabs>
          <w:tab w:val="left" w:pos="1736"/>
        </w:tabs>
        <w:spacing w:line="312" w:lineRule="auto"/>
        <w:ind w:left="1690" w:hanging="1689" w:hangingChars="704"/>
        <w:rPr>
          <w:rFonts w:ascii="宋体" w:hAnsi="宋体" w:cs="Arial"/>
          <w:sz w:val="24"/>
        </w:rPr>
      </w:pPr>
    </w:p>
    <w:p w14:paraId="7DA8BE2B">
      <w:pPr>
        <w:tabs>
          <w:tab w:val="left" w:pos="1736"/>
        </w:tabs>
        <w:spacing w:line="312" w:lineRule="auto"/>
        <w:ind w:left="1470" w:leftChars="700"/>
        <w:rPr>
          <w:rFonts w:hint="eastAsia" w:ascii="宋体" w:hAnsi="宋体" w:cs="Arial"/>
          <w:sz w:val="24"/>
        </w:rPr>
      </w:pPr>
      <w:r>
        <w:rPr>
          <w:rFonts w:hint="eastAsia" w:ascii="宋体" w:hAnsi="宋体" w:cs="Arial"/>
          <w:sz w:val="24"/>
        </w:rPr>
        <w:t>薪酬与考核委员会委员应当亲自出席薪酬与考核委员会会议, 并对审议事项表达明确的意见。委员确实不能亲自出席会议的, 可以提交由该委员签字的授权委托书, 委托其他委员代为出席并发表意见。授权委托书须明确授权范围和期限。每一名委员最多接受一名委员委托。独立董事委员确实不能亲自出席会议的, 应委托其他独立董事委员代为出席。</w:t>
      </w:r>
    </w:p>
    <w:p w14:paraId="66F7E2BA">
      <w:pPr>
        <w:tabs>
          <w:tab w:val="right" w:pos="9070"/>
        </w:tabs>
        <w:spacing w:line="312" w:lineRule="auto"/>
        <w:ind w:firstLine="480"/>
        <w:rPr>
          <w:rFonts w:hint="eastAsia" w:ascii="宋体" w:hAnsi="宋体" w:cs="Arial"/>
          <w:sz w:val="24"/>
        </w:rPr>
      </w:pPr>
    </w:p>
    <w:p w14:paraId="79547D8F">
      <w:pPr>
        <w:tabs>
          <w:tab w:val="left" w:pos="1560"/>
        </w:tabs>
        <w:spacing w:line="312" w:lineRule="auto"/>
        <w:ind w:left="1692" w:hanging="1692" w:hangingChars="705"/>
        <w:rPr>
          <w:rFonts w:hint="eastAsia" w:ascii="宋体" w:hAnsi="宋体" w:cs="Arial"/>
          <w:b/>
          <w:bCs/>
          <w:sz w:val="24"/>
        </w:rPr>
      </w:pPr>
      <w:r>
        <w:rPr>
          <w:rFonts w:hint="eastAsia" w:ascii="宋体" w:hAnsi="宋体" w:cs="Arial"/>
          <w:sz w:val="24"/>
        </w:rPr>
        <w:t>第十六条</w:t>
      </w:r>
      <w:r>
        <w:rPr>
          <w:rFonts w:hint="eastAsia" w:ascii="宋体" w:hAnsi="宋体" w:cs="Arial"/>
          <w:sz w:val="24"/>
        </w:rPr>
        <w:tab/>
      </w:r>
      <w:r>
        <w:rPr>
          <w:rFonts w:hint="eastAsia" w:ascii="宋体" w:hAnsi="宋体" w:cs="Arial"/>
          <w:sz w:val="24"/>
        </w:rPr>
        <w:t xml:space="preserve"> 委员会会议表决方式为举手表决或投票表决; 临时会议可以采 取通讯表决的方式召开。</w:t>
      </w:r>
    </w:p>
    <w:p w14:paraId="36773353">
      <w:pPr>
        <w:tabs>
          <w:tab w:val="right" w:pos="9070"/>
        </w:tabs>
        <w:spacing w:line="312" w:lineRule="auto"/>
        <w:ind w:firstLine="480"/>
        <w:rPr>
          <w:rFonts w:hint="eastAsia" w:ascii="宋体" w:hAnsi="宋体" w:cs="Arial"/>
          <w:sz w:val="24"/>
        </w:rPr>
      </w:pPr>
    </w:p>
    <w:p w14:paraId="4C731117">
      <w:pPr>
        <w:tabs>
          <w:tab w:val="left" w:pos="1764"/>
        </w:tabs>
        <w:spacing w:line="312" w:lineRule="auto"/>
        <w:ind w:left="1690" w:hanging="1689" w:hangingChars="704"/>
        <w:rPr>
          <w:rFonts w:hint="eastAsia" w:ascii="宋体" w:hAnsi="宋体" w:cs="Arial"/>
          <w:sz w:val="24"/>
        </w:rPr>
      </w:pPr>
      <w:r>
        <w:rPr>
          <w:rFonts w:hint="eastAsia" w:ascii="宋体" w:hAnsi="宋体" w:cs="Arial"/>
          <w:sz w:val="24"/>
        </w:rPr>
        <w:t>第十七条</w:t>
      </w:r>
      <w:r>
        <w:rPr>
          <w:rFonts w:hint="eastAsia" w:ascii="宋体" w:hAnsi="宋体" w:cs="Arial"/>
          <w:sz w:val="24"/>
        </w:rPr>
        <w:tab/>
      </w:r>
      <w:r>
        <w:rPr>
          <w:rFonts w:hint="eastAsia" w:ascii="宋体" w:hAnsi="宋体" w:cs="Arial"/>
          <w:sz w:val="24"/>
        </w:rPr>
        <w:t>薪酬与考核委员会会议必要时可邀请公司董事</w:t>
      </w:r>
      <w:r>
        <w:rPr>
          <w:rFonts w:hint="eastAsia" w:ascii="宋体" w:hAnsi="宋体" w:cs="Arial"/>
          <w:sz w:val="24"/>
          <w:lang w:val="en-US" w:eastAsia="zh-CN"/>
        </w:rPr>
        <w:t>及</w:t>
      </w:r>
      <w:r>
        <w:rPr>
          <w:rFonts w:hint="eastAsia" w:ascii="宋体" w:hAnsi="宋体" w:cs="Arial"/>
          <w:sz w:val="24"/>
        </w:rPr>
        <w:t>其他管理人员列席会议。</w:t>
      </w:r>
    </w:p>
    <w:p w14:paraId="5AB00B5A">
      <w:pPr>
        <w:tabs>
          <w:tab w:val="right" w:pos="9070"/>
        </w:tabs>
        <w:spacing w:line="312" w:lineRule="auto"/>
        <w:rPr>
          <w:rFonts w:hint="eastAsia" w:ascii="宋体" w:hAnsi="宋体" w:cs="Arial"/>
          <w:sz w:val="24"/>
        </w:rPr>
      </w:pPr>
    </w:p>
    <w:p w14:paraId="7A1B7C8F">
      <w:pPr>
        <w:tabs>
          <w:tab w:val="left" w:pos="1764"/>
        </w:tabs>
        <w:spacing w:line="312" w:lineRule="auto"/>
        <w:ind w:left="1690" w:hanging="1689" w:hangingChars="704"/>
        <w:rPr>
          <w:rFonts w:hint="eastAsia" w:ascii="宋体" w:hAnsi="宋体" w:cs="Arial"/>
          <w:sz w:val="24"/>
        </w:rPr>
      </w:pPr>
      <w:r>
        <w:rPr>
          <w:rFonts w:hint="eastAsia" w:ascii="宋体" w:hAnsi="宋体" w:cs="Arial"/>
          <w:sz w:val="24"/>
        </w:rPr>
        <w:t>第十八条</w:t>
      </w:r>
      <w:r>
        <w:rPr>
          <w:rFonts w:hint="eastAsia" w:ascii="宋体" w:hAnsi="宋体" w:cs="Arial"/>
          <w:sz w:val="24"/>
        </w:rPr>
        <w:tab/>
      </w:r>
      <w:r>
        <w:rPr>
          <w:rFonts w:hint="eastAsia" w:ascii="宋体" w:hAnsi="宋体" w:cs="Arial"/>
          <w:sz w:val="24"/>
        </w:rPr>
        <w:t>如有必要, 委员会可以聘请中介机构为其决策提供专业意见, 费用由公司支付。</w:t>
      </w:r>
    </w:p>
    <w:p w14:paraId="1363E623">
      <w:pPr>
        <w:tabs>
          <w:tab w:val="right" w:pos="9070"/>
        </w:tabs>
        <w:spacing w:line="312" w:lineRule="auto"/>
        <w:ind w:firstLine="480"/>
        <w:rPr>
          <w:rFonts w:hint="eastAsia" w:ascii="宋体" w:hAnsi="宋体" w:cs="Arial"/>
          <w:sz w:val="24"/>
        </w:rPr>
      </w:pPr>
    </w:p>
    <w:p w14:paraId="7EE0CE79">
      <w:pPr>
        <w:tabs>
          <w:tab w:val="left" w:pos="1701"/>
        </w:tabs>
        <w:spacing w:line="312" w:lineRule="auto"/>
        <w:ind w:left="1690" w:hanging="1689" w:hangingChars="704"/>
        <w:rPr>
          <w:rFonts w:hint="eastAsia" w:ascii="宋体" w:hAnsi="宋体" w:cs="Arial"/>
          <w:sz w:val="24"/>
        </w:rPr>
      </w:pPr>
      <w:r>
        <w:rPr>
          <w:rFonts w:hint="eastAsia" w:ascii="宋体" w:hAnsi="宋体" w:cs="Arial"/>
          <w:sz w:val="24"/>
        </w:rPr>
        <w:t>第十九条</w:t>
      </w:r>
      <w:r>
        <w:rPr>
          <w:rFonts w:hint="eastAsia" w:ascii="宋体" w:hAnsi="宋体" w:cs="Arial"/>
          <w:sz w:val="24"/>
        </w:rPr>
        <w:tab/>
      </w:r>
      <w:r>
        <w:rPr>
          <w:rFonts w:hint="eastAsia" w:ascii="宋体" w:hAnsi="宋体" w:cs="Arial"/>
          <w:sz w:val="24"/>
        </w:rPr>
        <w:t>薪酬与考核委员会会议的召开程序、表决方式和会议通过的议案必须遵循有关法律、法规、《公司章程》及本工作细则的规定。</w:t>
      </w:r>
    </w:p>
    <w:p w14:paraId="3BE1D9D4">
      <w:pPr>
        <w:tabs>
          <w:tab w:val="right" w:pos="9070"/>
        </w:tabs>
        <w:spacing w:line="312" w:lineRule="auto"/>
        <w:ind w:firstLine="480"/>
        <w:rPr>
          <w:rFonts w:hint="eastAsia" w:ascii="宋体" w:hAnsi="宋体" w:cs="Arial"/>
          <w:sz w:val="24"/>
        </w:rPr>
      </w:pPr>
    </w:p>
    <w:p w14:paraId="1B3E0E6D">
      <w:pPr>
        <w:tabs>
          <w:tab w:val="left" w:pos="1876"/>
        </w:tabs>
        <w:spacing w:line="312" w:lineRule="auto"/>
        <w:ind w:left="1721" w:hanging="1720" w:hangingChars="717"/>
        <w:rPr>
          <w:rFonts w:hint="eastAsia" w:ascii="宋体" w:hAnsi="宋体" w:cs="Arial"/>
          <w:sz w:val="24"/>
        </w:rPr>
      </w:pPr>
      <w:r>
        <w:rPr>
          <w:rFonts w:hint="eastAsia" w:ascii="宋体" w:hAnsi="宋体" w:cs="Arial"/>
          <w:sz w:val="24"/>
        </w:rPr>
        <w:t>第二十条</w:t>
      </w:r>
      <w:r>
        <w:rPr>
          <w:rFonts w:hint="eastAsia" w:ascii="宋体" w:hAnsi="宋体" w:cs="Arial"/>
          <w:sz w:val="24"/>
        </w:rPr>
        <w:tab/>
      </w:r>
      <w:r>
        <w:rPr>
          <w:rFonts w:hint="eastAsia" w:ascii="宋体" w:hAnsi="宋体" w:cs="Arial"/>
          <w:sz w:val="24"/>
        </w:rPr>
        <w:t>薪酬与考核委员会会议讨论有关委员会成员的议题时, 该当事人应回避。</w:t>
      </w:r>
    </w:p>
    <w:p w14:paraId="277A4CFF">
      <w:pPr>
        <w:tabs>
          <w:tab w:val="right" w:pos="9070"/>
        </w:tabs>
        <w:spacing w:line="312" w:lineRule="auto"/>
        <w:ind w:firstLine="480"/>
        <w:rPr>
          <w:rFonts w:hint="eastAsia" w:ascii="宋体" w:hAnsi="宋体" w:cs="Arial"/>
          <w:sz w:val="24"/>
        </w:rPr>
      </w:pPr>
    </w:p>
    <w:p w14:paraId="7EAAC07D">
      <w:pPr>
        <w:tabs>
          <w:tab w:val="left" w:pos="1750"/>
        </w:tabs>
        <w:spacing w:line="312" w:lineRule="auto"/>
        <w:ind w:left="1690" w:hanging="1689" w:hangingChars="704"/>
        <w:rPr>
          <w:rFonts w:hint="eastAsia" w:ascii="宋体" w:hAnsi="宋体" w:cs="Arial"/>
          <w:sz w:val="24"/>
        </w:rPr>
      </w:pPr>
      <w:r>
        <w:rPr>
          <w:rFonts w:hint="eastAsia" w:ascii="宋体" w:hAnsi="宋体" w:cs="Arial"/>
          <w:sz w:val="24"/>
        </w:rPr>
        <w:t>第二十一条</w:t>
      </w:r>
      <w:r>
        <w:rPr>
          <w:rFonts w:hint="eastAsia" w:ascii="宋体" w:hAnsi="宋体" w:cs="Arial"/>
          <w:sz w:val="24"/>
        </w:rPr>
        <w:tab/>
      </w:r>
      <w:r>
        <w:rPr>
          <w:rFonts w:hint="eastAsia" w:ascii="宋体" w:hAnsi="宋体" w:cs="Arial"/>
          <w:sz w:val="24"/>
        </w:rPr>
        <w:t>薪酬与考核委员会会议应当有记录, 出席会议的委员应当在会议记录上签名; 会议记录由公司董事会秘书保存。</w:t>
      </w:r>
    </w:p>
    <w:p w14:paraId="5FE9BC18">
      <w:pPr>
        <w:tabs>
          <w:tab w:val="right" w:pos="9070"/>
        </w:tabs>
        <w:spacing w:line="312" w:lineRule="auto"/>
        <w:ind w:firstLine="480"/>
        <w:rPr>
          <w:rFonts w:hint="eastAsia" w:ascii="宋体" w:hAnsi="宋体" w:cs="Arial"/>
          <w:sz w:val="24"/>
        </w:rPr>
      </w:pPr>
    </w:p>
    <w:p w14:paraId="0F54CEF7">
      <w:pPr>
        <w:tabs>
          <w:tab w:val="left" w:pos="1701"/>
        </w:tabs>
        <w:spacing w:line="312" w:lineRule="auto"/>
        <w:ind w:left="1690" w:hanging="1689" w:hangingChars="704"/>
        <w:rPr>
          <w:rFonts w:hint="eastAsia" w:ascii="宋体" w:hAnsi="宋体" w:cs="Arial"/>
          <w:sz w:val="24"/>
        </w:rPr>
      </w:pPr>
      <w:r>
        <w:rPr>
          <w:rFonts w:hint="eastAsia" w:ascii="宋体" w:hAnsi="宋体" w:cs="Arial"/>
          <w:sz w:val="24"/>
        </w:rPr>
        <w:t>第二十二条</w:t>
      </w:r>
      <w:r>
        <w:rPr>
          <w:rFonts w:hint="eastAsia" w:ascii="宋体" w:hAnsi="宋体" w:cs="Arial"/>
          <w:sz w:val="24"/>
        </w:rPr>
        <w:tab/>
      </w:r>
      <w:r>
        <w:rPr>
          <w:rFonts w:hint="eastAsia" w:ascii="宋体" w:hAnsi="宋体" w:cs="Arial"/>
          <w:sz w:val="24"/>
        </w:rPr>
        <w:t>薪酬与考核委员会会议通过的议案及表决结果, 应以书面形式报公司董事会。</w:t>
      </w:r>
    </w:p>
    <w:p w14:paraId="1A0A01C0">
      <w:pPr>
        <w:tabs>
          <w:tab w:val="right" w:pos="9070"/>
        </w:tabs>
        <w:spacing w:line="312" w:lineRule="auto"/>
        <w:ind w:firstLine="480"/>
        <w:rPr>
          <w:rFonts w:hint="eastAsia" w:ascii="宋体" w:hAnsi="宋体" w:cs="Arial"/>
          <w:sz w:val="24"/>
        </w:rPr>
      </w:pPr>
    </w:p>
    <w:p w14:paraId="5BE0766B">
      <w:pPr>
        <w:spacing w:line="312" w:lineRule="auto"/>
        <w:ind w:left="1690" w:hanging="1689" w:hangingChars="704"/>
        <w:rPr>
          <w:rFonts w:hint="eastAsia" w:ascii="宋体" w:hAnsi="宋体" w:cs="Arial"/>
          <w:sz w:val="24"/>
        </w:rPr>
      </w:pPr>
      <w:r>
        <w:rPr>
          <w:rFonts w:hint="eastAsia" w:ascii="宋体" w:hAnsi="宋体" w:cs="Arial"/>
          <w:sz w:val="24"/>
        </w:rPr>
        <w:t>第二十三条</w:t>
      </w:r>
      <w:r>
        <w:rPr>
          <w:rFonts w:hint="eastAsia" w:ascii="宋体" w:hAnsi="宋体" w:cs="Arial"/>
          <w:sz w:val="24"/>
        </w:rPr>
        <w:tab/>
      </w:r>
      <w:r>
        <w:rPr>
          <w:rFonts w:hint="eastAsia" w:ascii="宋体" w:hAnsi="宋体" w:cs="Arial"/>
          <w:sz w:val="24"/>
        </w:rPr>
        <w:t>出席会议的委员均对会议所议事项负有保密义务, 不得擅自披露会议有关信息。</w:t>
      </w:r>
    </w:p>
    <w:p w14:paraId="0BE0DA6C">
      <w:pPr>
        <w:spacing w:line="312" w:lineRule="auto"/>
        <w:ind w:left="938" w:hanging="938" w:hangingChars="391"/>
        <w:rPr>
          <w:rFonts w:hint="eastAsia" w:ascii="宋体" w:hAnsi="宋体" w:cs="Arial"/>
          <w:sz w:val="24"/>
        </w:rPr>
      </w:pPr>
    </w:p>
    <w:p w14:paraId="1448A5FC">
      <w:pPr>
        <w:tabs>
          <w:tab w:val="right" w:pos="9070"/>
        </w:tabs>
        <w:spacing w:line="312" w:lineRule="auto"/>
        <w:ind w:firstLine="480"/>
        <w:jc w:val="center"/>
        <w:rPr>
          <w:rFonts w:hint="eastAsia" w:ascii="宋体" w:hAnsi="宋体" w:cs="Arial"/>
          <w:b/>
          <w:bCs/>
          <w:sz w:val="24"/>
        </w:rPr>
      </w:pPr>
      <w:r>
        <w:rPr>
          <w:rFonts w:hint="eastAsia" w:ascii="宋体" w:hAnsi="宋体" w:cs="Arial"/>
          <w:b/>
          <w:bCs/>
          <w:sz w:val="24"/>
        </w:rPr>
        <w:t>第六章  附则</w:t>
      </w:r>
    </w:p>
    <w:p w14:paraId="3074F90B">
      <w:pPr>
        <w:tabs>
          <w:tab w:val="right" w:pos="9070"/>
        </w:tabs>
        <w:spacing w:line="312" w:lineRule="auto"/>
        <w:ind w:firstLine="480" w:firstLineChars="200"/>
        <w:rPr>
          <w:rFonts w:hint="eastAsia" w:ascii="宋体" w:hAnsi="宋体" w:cs="Arial"/>
          <w:sz w:val="24"/>
        </w:rPr>
      </w:pPr>
    </w:p>
    <w:p w14:paraId="3E041AA3">
      <w:pPr>
        <w:spacing w:line="312" w:lineRule="auto"/>
        <w:ind w:left="1690" w:hanging="1689" w:hangingChars="704"/>
        <w:rPr>
          <w:rFonts w:hint="eastAsia" w:ascii="宋体" w:hAnsi="宋体" w:cs="Arial"/>
          <w:sz w:val="24"/>
        </w:rPr>
      </w:pPr>
      <w:r>
        <w:rPr>
          <w:rFonts w:hint="eastAsia" w:ascii="宋体" w:hAnsi="宋体" w:cs="Arial"/>
          <w:sz w:val="24"/>
        </w:rPr>
        <w:t>第二十四条</w:t>
      </w:r>
      <w:r>
        <w:rPr>
          <w:rFonts w:hint="eastAsia" w:ascii="宋体" w:hAnsi="宋体" w:cs="Arial"/>
          <w:sz w:val="24"/>
        </w:rPr>
        <w:tab/>
      </w:r>
      <w:r>
        <w:rPr>
          <w:rFonts w:hint="eastAsia" w:ascii="宋体" w:hAnsi="宋体" w:cs="Arial"/>
          <w:sz w:val="24"/>
        </w:rPr>
        <w:t>本工作细则自公司董事会决议通过之日起生效执行。</w:t>
      </w:r>
    </w:p>
    <w:p w14:paraId="7C815900">
      <w:pPr>
        <w:spacing w:line="312" w:lineRule="auto"/>
        <w:ind w:left="1690" w:hanging="1689" w:hangingChars="704"/>
        <w:rPr>
          <w:rFonts w:hint="eastAsia" w:ascii="宋体" w:hAnsi="宋体" w:cs="Arial"/>
          <w:sz w:val="24"/>
        </w:rPr>
      </w:pPr>
    </w:p>
    <w:p w14:paraId="2D7CD4EB">
      <w:pPr>
        <w:spacing w:line="312" w:lineRule="auto"/>
        <w:ind w:left="1690" w:hanging="1689" w:hangingChars="704"/>
        <w:rPr>
          <w:rFonts w:hint="eastAsia" w:ascii="宋体" w:hAnsi="宋体" w:cs="Arial"/>
          <w:sz w:val="24"/>
        </w:rPr>
      </w:pPr>
      <w:r>
        <w:rPr>
          <w:rFonts w:hint="eastAsia" w:ascii="宋体" w:hAnsi="宋体" w:cs="Arial"/>
          <w:sz w:val="24"/>
        </w:rPr>
        <w:t>第二十五条</w:t>
      </w:r>
      <w:r>
        <w:rPr>
          <w:rFonts w:hint="eastAsia" w:ascii="宋体" w:hAnsi="宋体" w:cs="Arial"/>
          <w:sz w:val="24"/>
        </w:rPr>
        <w:tab/>
      </w:r>
      <w:r>
        <w:rPr>
          <w:rFonts w:hint="eastAsia" w:ascii="宋体" w:hAnsi="宋体" w:cs="Arial"/>
          <w:sz w:val="24"/>
        </w:rPr>
        <w:t>本工作细则未尽事宜, 按国家有关法律、</w:t>
      </w:r>
      <w:r>
        <w:rPr>
          <w:rFonts w:hint="eastAsia" w:ascii="宋体" w:hAnsi="宋体" w:cs="Arial"/>
          <w:sz w:val="24"/>
          <w:lang w:val="en-US" w:eastAsia="zh-CN"/>
        </w:rPr>
        <w:t>法规</w:t>
      </w:r>
      <w:r>
        <w:rPr>
          <w:rFonts w:hint="eastAsia" w:ascii="宋体" w:hAnsi="宋体" w:cs="Arial"/>
          <w:sz w:val="24"/>
        </w:rPr>
        <w:t>和《公司章程》的规定执行; 本工作细则如与日后颁布的法律、法规或经合法程序修改后的《公司章程》相抵触时, 按</w:t>
      </w:r>
      <w:bookmarkStart w:id="0" w:name="_GoBack"/>
      <w:bookmarkEnd w:id="0"/>
      <w:r>
        <w:rPr>
          <w:rFonts w:hint="eastAsia" w:ascii="宋体" w:hAnsi="宋体" w:cs="Arial"/>
          <w:sz w:val="24"/>
        </w:rPr>
        <w:t>有关法律、法规和《公司章程》的规定执行, 并立即修订, 报董事会审议通过。</w:t>
      </w:r>
    </w:p>
    <w:p w14:paraId="6F20AA0D">
      <w:pPr>
        <w:tabs>
          <w:tab w:val="right" w:pos="9070"/>
        </w:tabs>
        <w:spacing w:line="312" w:lineRule="auto"/>
        <w:rPr>
          <w:rFonts w:hint="eastAsia" w:ascii="宋体" w:hAnsi="宋体" w:cs="Arial"/>
          <w:sz w:val="24"/>
        </w:rPr>
      </w:pPr>
    </w:p>
    <w:p w14:paraId="74C624F0">
      <w:pPr>
        <w:spacing w:line="312" w:lineRule="auto"/>
        <w:ind w:left="1690" w:hanging="1689" w:hangingChars="704"/>
        <w:rPr>
          <w:rFonts w:hint="eastAsia" w:ascii="宋体" w:hAnsi="宋体" w:cs="Arial"/>
          <w:sz w:val="24"/>
        </w:rPr>
      </w:pPr>
      <w:r>
        <w:rPr>
          <w:rFonts w:hint="eastAsia" w:ascii="宋体" w:hAnsi="宋体" w:cs="Arial"/>
          <w:sz w:val="24"/>
        </w:rPr>
        <w:t>第二十六条</w:t>
      </w:r>
      <w:r>
        <w:rPr>
          <w:rFonts w:hint="eastAsia" w:ascii="宋体" w:hAnsi="宋体" w:cs="Arial"/>
          <w:sz w:val="24"/>
        </w:rPr>
        <w:tab/>
      </w:r>
      <w:r>
        <w:rPr>
          <w:rFonts w:hint="eastAsia" w:ascii="宋体" w:hAnsi="宋体" w:cs="Arial"/>
          <w:sz w:val="24"/>
        </w:rPr>
        <w:t>本工作细则解释权归属公司董事会。</w:t>
      </w:r>
    </w:p>
    <w:p w14:paraId="75E78946">
      <w:pPr>
        <w:spacing w:line="360" w:lineRule="auto"/>
        <w:jc w:val="center"/>
        <w:rPr>
          <w:rFonts w:hint="eastAsia" w:ascii="宋体" w:hAnsi="宋体" w:cs="Arial"/>
          <w:b/>
          <w:sz w:val="24"/>
        </w:rPr>
      </w:pPr>
    </w:p>
    <w:sectPr>
      <w:headerReference r:id="rId3" w:type="default"/>
      <w:footerReference r:id="rId4" w:type="default"/>
      <w:pgSz w:w="11906" w:h="16838"/>
      <w:pgMar w:top="1440" w:right="1800" w:bottom="1440" w:left="1800" w:header="6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7450">
    <w:pPr>
      <w:pStyle w:val="3"/>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1</w:t>
    </w:r>
    <w:r>
      <w:fldChar w:fldCharType="end"/>
    </w:r>
    <w:r>
      <w:rPr>
        <w:rFonts w:hint="eastAsia"/>
      </w:rPr>
      <w:t xml:space="preserve"> 页 共 5页</w:t>
    </w:r>
  </w:p>
  <w:p w14:paraId="04927A5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5847">
    <w:pPr>
      <w:pStyle w:val="4"/>
      <w:jc w:val="both"/>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永兴特种材料科技股份有限公司薪酬与考核委员会工作细则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9204D"/>
    <w:multiLevelType w:val="multilevel"/>
    <w:tmpl w:val="36F9204D"/>
    <w:lvl w:ilvl="0" w:tentative="0">
      <w:start w:val="1"/>
      <w:numFmt w:val="japaneseCounting"/>
      <w:lvlText w:val="(%1)"/>
      <w:lvlJc w:val="left"/>
      <w:pPr>
        <w:tabs>
          <w:tab w:val="left" w:pos="1470"/>
        </w:tabs>
        <w:ind w:left="147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AF922BF"/>
    <w:multiLevelType w:val="multilevel"/>
    <w:tmpl w:val="3AF922BF"/>
    <w:lvl w:ilvl="0" w:tentative="0">
      <w:start w:val="1"/>
      <w:numFmt w:val="japaneseCounting"/>
      <w:lvlText w:val="(%1)"/>
      <w:lvlJc w:val="left"/>
      <w:pPr>
        <w:tabs>
          <w:tab w:val="left" w:pos="975"/>
        </w:tabs>
        <w:ind w:left="975" w:hanging="495"/>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0F47337"/>
    <w:multiLevelType w:val="multilevel"/>
    <w:tmpl w:val="50F47337"/>
    <w:lvl w:ilvl="0" w:tentative="0">
      <w:start w:val="1"/>
      <w:numFmt w:val="japaneseCounting"/>
      <w:lvlText w:val="(%1)"/>
      <w:lvlJc w:val="left"/>
      <w:pPr>
        <w:tabs>
          <w:tab w:val="left" w:pos="975"/>
        </w:tabs>
        <w:ind w:left="975" w:hanging="495"/>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75"/>
    <w:rsid w:val="000233B2"/>
    <w:rsid w:val="0004784A"/>
    <w:rsid w:val="000D3323"/>
    <w:rsid w:val="00144F80"/>
    <w:rsid w:val="001B042D"/>
    <w:rsid w:val="002B3221"/>
    <w:rsid w:val="002C18D7"/>
    <w:rsid w:val="002F09ED"/>
    <w:rsid w:val="00335A27"/>
    <w:rsid w:val="00357A1E"/>
    <w:rsid w:val="003C1075"/>
    <w:rsid w:val="004779B4"/>
    <w:rsid w:val="00483EC8"/>
    <w:rsid w:val="004A5B0E"/>
    <w:rsid w:val="004F12F0"/>
    <w:rsid w:val="00555C25"/>
    <w:rsid w:val="005B3C94"/>
    <w:rsid w:val="0061473B"/>
    <w:rsid w:val="0071080D"/>
    <w:rsid w:val="007761DC"/>
    <w:rsid w:val="00806E2D"/>
    <w:rsid w:val="0089077E"/>
    <w:rsid w:val="009850AF"/>
    <w:rsid w:val="00A15F46"/>
    <w:rsid w:val="00AA673D"/>
    <w:rsid w:val="00AE04C3"/>
    <w:rsid w:val="00B174AA"/>
    <w:rsid w:val="00B40F87"/>
    <w:rsid w:val="00B5203C"/>
    <w:rsid w:val="00C053D4"/>
    <w:rsid w:val="00C42956"/>
    <w:rsid w:val="00C4305A"/>
    <w:rsid w:val="00C4447C"/>
    <w:rsid w:val="00CF6637"/>
    <w:rsid w:val="00F35D17"/>
    <w:rsid w:val="00FD32FE"/>
    <w:rsid w:val="0C1F1033"/>
    <w:rsid w:val="0DE27E64"/>
    <w:rsid w:val="3D3C3692"/>
    <w:rsid w:val="5680662E"/>
    <w:rsid w:val="63CB08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qFormat/>
    <w:uiPriority w:val="0"/>
    <w:rPr>
      <w:kern w:val="2"/>
      <w:sz w:val="18"/>
      <w:szCs w:val="18"/>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2340</Words>
  <Characters>2340</Characters>
  <Lines>19</Lines>
  <Paragraphs>5</Paragraphs>
  <TotalTime>1</TotalTime>
  <ScaleCrop>false</ScaleCrop>
  <LinksUpToDate>false</LinksUpToDate>
  <CharactersWithSpaces>2436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2007-08-30T00:09:00Z</dcterms:created>
  <dc:creator>walkinnet</dc:creator>
  <cp:lastModifiedBy>lln</cp:lastModifiedBy>
  <dcterms:modified xsi:type="dcterms:W3CDTF">2025-09-02T02:16:45Z</dcterms:modified>
  <dc:title>永兴特种不锈钢股份有限公司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D48FAB5F94584BC9B6F8D19F8A8B71EF_13</vt:lpwstr>
  </property>
</Properties>
</file>