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C1BE6">
      <w:pPr>
        <w:spacing w:line="298" w:lineRule="auto"/>
        <w:jc w:val="center"/>
        <w:rPr>
          <w:rFonts w:hint="eastAsia" w:ascii="宋体" w:hAnsi="宋体" w:cs="宋体"/>
          <w:b/>
          <w:sz w:val="32"/>
          <w:szCs w:val="32"/>
        </w:rPr>
      </w:pPr>
      <w:r>
        <w:rPr>
          <w:rFonts w:hint="eastAsia" w:ascii="宋体" w:hAnsi="宋体" w:cs="宋体"/>
          <w:b/>
          <w:sz w:val="32"/>
          <w:szCs w:val="32"/>
        </w:rPr>
        <w:t>永兴特种材料科技股份有限公司</w:t>
      </w:r>
    </w:p>
    <w:p w14:paraId="6EBD5BF4">
      <w:pPr>
        <w:spacing w:line="298" w:lineRule="auto"/>
        <w:jc w:val="center"/>
        <w:rPr>
          <w:rFonts w:hint="eastAsia" w:ascii="宋体" w:hAnsi="宋体" w:cs="宋体"/>
          <w:b/>
          <w:sz w:val="32"/>
          <w:szCs w:val="32"/>
        </w:rPr>
      </w:pPr>
      <w:r>
        <w:rPr>
          <w:rFonts w:hint="eastAsia" w:ascii="宋体" w:hAnsi="宋体" w:cs="宋体"/>
          <w:b/>
          <w:sz w:val="32"/>
          <w:szCs w:val="32"/>
        </w:rPr>
        <w:t>对外捐赠管理办法</w:t>
      </w:r>
    </w:p>
    <w:p w14:paraId="75E884CA">
      <w:pPr>
        <w:spacing w:line="298" w:lineRule="auto"/>
        <w:jc w:val="center"/>
        <w:rPr>
          <w:rFonts w:hint="eastAsia" w:ascii="宋体" w:hAnsi="宋体" w:eastAsia="宋体" w:cs="宋体"/>
          <w:b/>
          <w:sz w:val="30"/>
          <w:szCs w:val="30"/>
        </w:rPr>
      </w:pPr>
    </w:p>
    <w:p w14:paraId="4388FC93">
      <w:pPr>
        <w:numPr>
          <w:ilvl w:val="0"/>
          <w:numId w:val="1"/>
        </w:numPr>
        <w:tabs>
          <w:tab w:val="left" w:pos="1080"/>
          <w:tab w:val="clear" w:pos="4260"/>
        </w:tabs>
        <w:spacing w:line="298" w:lineRule="auto"/>
        <w:ind w:left="0" w:firstLine="0"/>
        <w:jc w:val="center"/>
        <w:rPr>
          <w:rFonts w:hint="eastAsia" w:ascii="宋体" w:hAnsi="宋体" w:eastAsia="宋体" w:cs="宋体"/>
          <w:b/>
          <w:sz w:val="24"/>
        </w:rPr>
      </w:pPr>
      <w:r>
        <w:rPr>
          <w:rFonts w:hint="eastAsia" w:ascii="宋体" w:hAnsi="宋体" w:eastAsia="宋体" w:cs="宋体"/>
          <w:b/>
          <w:sz w:val="24"/>
        </w:rPr>
        <w:t>总  则</w:t>
      </w:r>
    </w:p>
    <w:p w14:paraId="20A9321B">
      <w:pPr>
        <w:tabs>
          <w:tab w:val="left" w:pos="1440"/>
          <w:tab w:val="left" w:pos="1980"/>
        </w:tabs>
        <w:spacing w:line="298" w:lineRule="auto"/>
        <w:rPr>
          <w:rFonts w:hint="eastAsia" w:ascii="宋体" w:hAnsi="宋体" w:cs="宋体"/>
          <w:b/>
          <w:sz w:val="24"/>
        </w:rPr>
      </w:pPr>
    </w:p>
    <w:p w14:paraId="15BAEF8A">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sz w:val="24"/>
        </w:rPr>
        <w:t>为了进一步规范永兴特种材料科技股份有限公司（以下简称“公司”）的对外捐赠行为，加强公司对捐赠事项的管理，更好地履行公司的社会责任和义务，全面、有效地宣传和提升公司品牌及企业形象，维护公司股东、债权人及员工利益，根据《中华人民共和国公益事业捐赠法》、《中华人民共和国公司法》及《深圳证券交易所股票上市规则》等法律、法规，制定本办法。</w:t>
      </w:r>
    </w:p>
    <w:p w14:paraId="7683DDCC">
      <w:pPr>
        <w:tabs>
          <w:tab w:val="left" w:pos="1980"/>
        </w:tabs>
        <w:spacing w:line="298" w:lineRule="auto"/>
        <w:rPr>
          <w:rFonts w:hint="eastAsia" w:ascii="宋体" w:hAnsi="宋体" w:cs="宋体"/>
          <w:sz w:val="24"/>
        </w:rPr>
      </w:pPr>
    </w:p>
    <w:p w14:paraId="0C2967E2">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sz w:val="24"/>
        </w:rPr>
        <w:t>本办法适用于公司及子公司（含控股和全资子公司，下同），子公司不得自行对外捐赠，子公司应当按照本办法规定决策程序提交母公司批准后方能对外捐赠。</w:t>
      </w:r>
    </w:p>
    <w:p w14:paraId="4980AC57">
      <w:pPr>
        <w:tabs>
          <w:tab w:val="left" w:pos="1980"/>
        </w:tabs>
        <w:spacing w:line="298" w:lineRule="auto"/>
        <w:rPr>
          <w:rFonts w:hint="eastAsia" w:ascii="宋体" w:hAnsi="宋体" w:cs="宋体"/>
          <w:sz w:val="24"/>
        </w:rPr>
      </w:pPr>
    </w:p>
    <w:p w14:paraId="591C3E33">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sz w:val="24"/>
        </w:rPr>
        <w:t>本办法所称“对外捐赠”，是指公司及子公司以公司或以子公司的名义自愿无偿将其有权处分的合法财产赠送给合法的受赠人，用于与生产经营活动没有直接关系的公益事业的行为。</w:t>
      </w:r>
    </w:p>
    <w:p w14:paraId="0FC26596">
      <w:pPr>
        <w:tabs>
          <w:tab w:val="left" w:pos="1980"/>
        </w:tabs>
        <w:spacing w:line="298" w:lineRule="auto"/>
        <w:rPr>
          <w:rFonts w:hint="eastAsia" w:ascii="宋体" w:hAnsi="宋体" w:cs="宋体"/>
          <w:sz w:val="24"/>
        </w:rPr>
      </w:pPr>
    </w:p>
    <w:p w14:paraId="68DA1045">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sz w:val="24"/>
        </w:rPr>
        <w:t>对外捐赠应当遵循《中华人民共和国公益事业捐赠法》以及国家其他有关法律、法规的规定，通过依法成立的公益性社会团体和公益性非营利的事业单位或者县级以上人民政府及其组成部门进行。特殊情况下，也可以通过合法的新闻媒体等进行。</w:t>
      </w:r>
    </w:p>
    <w:p w14:paraId="540233E3">
      <w:pPr>
        <w:tabs>
          <w:tab w:val="left" w:pos="1980"/>
        </w:tabs>
        <w:spacing w:line="298" w:lineRule="auto"/>
        <w:rPr>
          <w:rFonts w:hint="eastAsia" w:ascii="宋体" w:hAnsi="宋体" w:cs="宋体"/>
          <w:sz w:val="24"/>
        </w:rPr>
      </w:pPr>
    </w:p>
    <w:p w14:paraId="06C3D16B">
      <w:pPr>
        <w:numPr>
          <w:ilvl w:val="0"/>
          <w:numId w:val="1"/>
        </w:numPr>
        <w:tabs>
          <w:tab w:val="left" w:pos="1080"/>
          <w:tab w:val="clear" w:pos="4260"/>
        </w:tabs>
        <w:spacing w:line="298" w:lineRule="auto"/>
        <w:ind w:left="0" w:firstLine="0"/>
        <w:jc w:val="center"/>
        <w:rPr>
          <w:rFonts w:hint="eastAsia" w:ascii="宋体" w:hAnsi="宋体" w:eastAsia="宋体" w:cs="宋体"/>
          <w:b/>
          <w:sz w:val="24"/>
        </w:rPr>
      </w:pPr>
      <w:r>
        <w:rPr>
          <w:rFonts w:hint="eastAsia" w:ascii="宋体" w:hAnsi="宋体" w:eastAsia="宋体" w:cs="宋体"/>
          <w:b/>
          <w:sz w:val="24"/>
        </w:rPr>
        <w:t>对外捐赠的原则</w:t>
      </w:r>
    </w:p>
    <w:p w14:paraId="2A27E688">
      <w:pPr>
        <w:tabs>
          <w:tab w:val="left" w:pos="1980"/>
        </w:tabs>
        <w:spacing w:line="298" w:lineRule="auto"/>
        <w:rPr>
          <w:rFonts w:hint="eastAsia" w:ascii="宋体" w:hAnsi="宋体" w:cs="宋体"/>
          <w:sz w:val="24"/>
        </w:rPr>
      </w:pPr>
    </w:p>
    <w:p w14:paraId="72EE32AC">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sz w:val="24"/>
        </w:rPr>
        <w:t>自愿无偿：公司对外捐赠后，不得要求受赠方在融资、市场准入、行政许可、占有其他资源等方面创造便利条件。</w:t>
      </w:r>
    </w:p>
    <w:p w14:paraId="1CA162D9">
      <w:pPr>
        <w:autoSpaceDE w:val="0"/>
        <w:autoSpaceDN w:val="0"/>
        <w:adjustRightInd w:val="0"/>
        <w:snapToGrid w:val="0"/>
        <w:spacing w:line="298" w:lineRule="auto"/>
        <w:rPr>
          <w:rFonts w:hint="eastAsia" w:ascii="宋体" w:hAnsi="宋体" w:cs="宋体"/>
          <w:sz w:val="24"/>
        </w:rPr>
      </w:pPr>
    </w:p>
    <w:p w14:paraId="1A9DD2BE">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sz w:val="24"/>
        </w:rPr>
        <w:t>权责清晰：公司董事、高级管理人员或者其他职工不得将公司拥有的财产以个人名义对外捐赠，公司对外捐赠有权要求受赠人落实自己合法的捐赠意愿，不能将捐赠财产挪作他用。</w:t>
      </w:r>
    </w:p>
    <w:p w14:paraId="4EF46929">
      <w:pPr>
        <w:tabs>
          <w:tab w:val="left" w:pos="1980"/>
        </w:tabs>
        <w:spacing w:line="298" w:lineRule="auto"/>
        <w:rPr>
          <w:rFonts w:hint="eastAsia" w:ascii="宋体" w:hAnsi="宋体" w:cs="宋体"/>
          <w:sz w:val="24"/>
        </w:rPr>
      </w:pPr>
    </w:p>
    <w:p w14:paraId="7B9FBE52">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sz w:val="24"/>
        </w:rPr>
        <w:t>量力而行：公司应在力所能及的范围内，积极参加社会公益活动，由于对外捐赠将导致亏损或者影响公司正常生产经营的，除特殊情况以外，不得对外捐赠。</w:t>
      </w:r>
    </w:p>
    <w:p w14:paraId="6BA13370">
      <w:pPr>
        <w:tabs>
          <w:tab w:val="left" w:pos="1980"/>
        </w:tabs>
        <w:spacing w:line="298" w:lineRule="auto"/>
        <w:rPr>
          <w:rFonts w:hint="eastAsia" w:ascii="宋体" w:hAnsi="宋体" w:cs="宋体"/>
          <w:sz w:val="24"/>
        </w:rPr>
      </w:pPr>
    </w:p>
    <w:p w14:paraId="288021F9">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sz w:val="24"/>
        </w:rPr>
        <w:t>诚实守信：公司按照议事规范审议决定并已经向社会公众或者受赠对象承诺的捐赠，必须诚实履行。</w:t>
      </w:r>
    </w:p>
    <w:p w14:paraId="6EFAE9C9">
      <w:pPr>
        <w:tabs>
          <w:tab w:val="left" w:pos="1980"/>
        </w:tabs>
        <w:spacing w:line="298" w:lineRule="auto"/>
        <w:rPr>
          <w:rFonts w:hint="eastAsia" w:ascii="宋体" w:hAnsi="宋体" w:cs="宋体"/>
          <w:sz w:val="24"/>
        </w:rPr>
      </w:pPr>
    </w:p>
    <w:p w14:paraId="2DF75326">
      <w:pPr>
        <w:numPr>
          <w:ilvl w:val="0"/>
          <w:numId w:val="1"/>
        </w:numPr>
        <w:tabs>
          <w:tab w:val="left" w:pos="1080"/>
          <w:tab w:val="clear" w:pos="4260"/>
        </w:tabs>
        <w:spacing w:line="298" w:lineRule="auto"/>
        <w:ind w:left="0" w:firstLine="0"/>
        <w:jc w:val="center"/>
        <w:rPr>
          <w:rFonts w:hint="eastAsia" w:ascii="宋体" w:hAnsi="宋体" w:eastAsia="宋体" w:cs="宋体"/>
          <w:b/>
          <w:sz w:val="24"/>
        </w:rPr>
      </w:pPr>
      <w:r>
        <w:rPr>
          <w:rFonts w:hint="eastAsia" w:ascii="宋体" w:hAnsi="宋体" w:eastAsia="宋体" w:cs="宋体"/>
          <w:b/>
          <w:sz w:val="24"/>
        </w:rPr>
        <w:t>对外捐赠的范围</w:t>
      </w:r>
    </w:p>
    <w:p w14:paraId="4A83B865">
      <w:pPr>
        <w:spacing w:line="298" w:lineRule="auto"/>
        <w:ind w:left="3435"/>
        <w:rPr>
          <w:rFonts w:hint="eastAsia" w:ascii="宋体" w:hAnsi="宋体" w:cs="宋体"/>
          <w:sz w:val="24"/>
        </w:rPr>
      </w:pPr>
    </w:p>
    <w:p w14:paraId="3E62E5B3">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rPr>
        <w:t>公</w:t>
      </w:r>
      <w:r>
        <w:rPr>
          <w:rFonts w:hint="eastAsia" w:ascii="宋体" w:hAnsi="宋体" w:cs="宋体"/>
          <w:sz w:val="24"/>
        </w:rPr>
        <w:t>司可以用于对外捐赠的财产包括现金和实物资产（包括库存商品、固定资产及其他有形资产等）。</w:t>
      </w:r>
    </w:p>
    <w:p w14:paraId="3411384F">
      <w:pPr>
        <w:tabs>
          <w:tab w:val="left" w:pos="2410"/>
        </w:tabs>
        <w:spacing w:line="298" w:lineRule="auto"/>
        <w:ind w:left="1418"/>
        <w:rPr>
          <w:rFonts w:hint="eastAsia" w:ascii="宋体" w:hAnsi="宋体" w:cs="宋体"/>
          <w:sz w:val="24"/>
        </w:rPr>
      </w:pPr>
      <w:r>
        <w:rPr>
          <w:rFonts w:hint="eastAsia" w:ascii="宋体" w:hAnsi="宋体" w:cs="宋体"/>
          <w:sz w:val="24"/>
        </w:rPr>
        <w:t>公司日常经营需用的主要固定资产、持有的股权和债权、国家特准储备物资、国家财政拨款、受托代管财产、已设置担保物权的财产、权属关系不清的财产，或者变质、残损、过期报废的商品物资，不得用于对外捐赠。</w:t>
      </w:r>
    </w:p>
    <w:p w14:paraId="114FEB57">
      <w:pPr>
        <w:tabs>
          <w:tab w:val="left" w:pos="2410"/>
        </w:tabs>
        <w:spacing w:line="298" w:lineRule="auto"/>
        <w:ind w:left="1418"/>
        <w:rPr>
          <w:rFonts w:hint="eastAsia" w:ascii="宋体" w:hAnsi="宋体" w:cs="宋体"/>
          <w:sz w:val="24"/>
        </w:rPr>
      </w:pPr>
    </w:p>
    <w:p w14:paraId="06CC4705">
      <w:pPr>
        <w:numPr>
          <w:ilvl w:val="0"/>
          <w:numId w:val="1"/>
        </w:numPr>
        <w:tabs>
          <w:tab w:val="left" w:pos="1080"/>
          <w:tab w:val="clear" w:pos="4260"/>
        </w:tabs>
        <w:spacing w:line="298" w:lineRule="auto"/>
        <w:ind w:left="0" w:firstLine="0"/>
        <w:jc w:val="center"/>
        <w:rPr>
          <w:rFonts w:hint="eastAsia" w:ascii="宋体" w:hAnsi="宋体" w:eastAsia="宋体" w:cs="宋体"/>
          <w:b/>
          <w:sz w:val="24"/>
        </w:rPr>
      </w:pPr>
      <w:r>
        <w:rPr>
          <w:rFonts w:hint="eastAsia" w:ascii="宋体" w:hAnsi="宋体" w:eastAsia="宋体" w:cs="宋体"/>
          <w:b/>
          <w:sz w:val="24"/>
        </w:rPr>
        <w:t>对外捐赠的类型和受益人</w:t>
      </w:r>
    </w:p>
    <w:p w14:paraId="380305DC">
      <w:pPr>
        <w:spacing w:line="298" w:lineRule="auto"/>
        <w:ind w:left="3435"/>
        <w:rPr>
          <w:rFonts w:hint="eastAsia" w:ascii="宋体" w:hAnsi="宋体" w:cs="宋体"/>
          <w:sz w:val="24"/>
        </w:rPr>
      </w:pPr>
    </w:p>
    <w:p w14:paraId="7F26F2A4">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sz w:val="24"/>
        </w:rPr>
        <w:t>公司一般可以按照以下类型进行对外捐赠</w:t>
      </w:r>
    </w:p>
    <w:p w14:paraId="058AAFB7">
      <w:pPr>
        <w:numPr>
          <w:ilvl w:val="3"/>
          <w:numId w:val="2"/>
        </w:numPr>
        <w:tabs>
          <w:tab w:val="left" w:pos="2410"/>
          <w:tab w:val="clear" w:pos="1980"/>
        </w:tabs>
        <w:spacing w:line="298" w:lineRule="auto"/>
        <w:ind w:left="2410" w:hanging="992"/>
        <w:rPr>
          <w:rFonts w:hint="eastAsia" w:ascii="宋体" w:hAnsi="宋体" w:cs="宋体"/>
          <w:sz w:val="24"/>
        </w:rPr>
      </w:pPr>
      <w:r>
        <w:rPr>
          <w:rFonts w:hint="eastAsia" w:ascii="宋体" w:hAnsi="宋体" w:cs="宋体"/>
          <w:sz w:val="24"/>
        </w:rPr>
        <w:t>公益性捐赠，即向教育、科学、文化、卫生医疗、体育事业和环境保护、社会公共设施建设的捐赠。</w:t>
      </w:r>
    </w:p>
    <w:p w14:paraId="7E3F56E6">
      <w:pPr>
        <w:numPr>
          <w:ilvl w:val="3"/>
          <w:numId w:val="2"/>
        </w:numPr>
        <w:tabs>
          <w:tab w:val="left" w:pos="2410"/>
          <w:tab w:val="clear" w:pos="1980"/>
        </w:tabs>
        <w:spacing w:line="298" w:lineRule="auto"/>
        <w:ind w:left="2410" w:hanging="992"/>
        <w:rPr>
          <w:rFonts w:hint="eastAsia" w:ascii="宋体" w:hAnsi="宋体" w:cs="宋体"/>
          <w:sz w:val="24"/>
        </w:rPr>
      </w:pPr>
      <w:r>
        <w:rPr>
          <w:rFonts w:hint="eastAsia" w:ascii="宋体" w:hAnsi="宋体" w:cs="宋体"/>
          <w:sz w:val="24"/>
        </w:rPr>
        <w:t xml:space="preserve">救济性捐赠，即向遭受自然灾害或者国家确认的“老、少、边、穷”等地区以及慈善协会、红十字会、残疾人联合会、青少年基金会等社会团体或者困难的社会弱势群体和个人提供的用于生产、生活救济、救助的捐赠。 </w:t>
      </w:r>
    </w:p>
    <w:p w14:paraId="3C5177AA">
      <w:pPr>
        <w:numPr>
          <w:ilvl w:val="3"/>
          <w:numId w:val="2"/>
        </w:numPr>
        <w:tabs>
          <w:tab w:val="left" w:pos="2410"/>
          <w:tab w:val="clear" w:pos="1980"/>
        </w:tabs>
        <w:spacing w:line="298" w:lineRule="auto"/>
        <w:ind w:left="2410" w:hanging="992"/>
        <w:rPr>
          <w:rFonts w:hint="eastAsia" w:ascii="宋体" w:hAnsi="宋体" w:cs="宋体"/>
          <w:sz w:val="24"/>
        </w:rPr>
      </w:pPr>
      <w:r>
        <w:rPr>
          <w:rFonts w:hint="eastAsia" w:ascii="宋体" w:hAnsi="宋体" w:cs="宋体"/>
          <w:sz w:val="24"/>
        </w:rPr>
        <w:t>其他捐赠，即除上述捐赠以外，公司出于弘扬人道主义目的或者促进社会发展与进步的其他社会公共福利事业的捐赠。</w:t>
      </w:r>
    </w:p>
    <w:p w14:paraId="6812FF17">
      <w:pPr>
        <w:tabs>
          <w:tab w:val="left" w:pos="2410"/>
        </w:tabs>
        <w:spacing w:line="298" w:lineRule="auto"/>
        <w:ind w:left="1418"/>
        <w:rPr>
          <w:rFonts w:hint="eastAsia" w:ascii="宋体" w:hAnsi="宋体" w:cs="宋体"/>
          <w:sz w:val="24"/>
        </w:rPr>
      </w:pPr>
    </w:p>
    <w:p w14:paraId="68184DCC">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sz w:val="24"/>
        </w:rPr>
        <w:t>对外捐赠的受益人应当为公益性社会团体、公益性非营利事业单位及需要捐助的个人。其中，公益性社会团体是指依法成立的，以发展公益事业为宗旨的基金会、慈善组织等社会团体；公益性非营利事业单位是指依法成立的，从事公益事业的不以营利为目的的教育机构、科学研究机构、医疗卫生机构、社会公共文化机构、社会公共体育机构和社会福利机构等。</w:t>
      </w:r>
      <w:r>
        <w:rPr>
          <w:rFonts w:hint="eastAsia" w:ascii="宋体" w:hAnsi="宋体" w:cs="宋体"/>
          <w:sz w:val="24"/>
        </w:rPr>
        <w:cr/>
      </w:r>
    </w:p>
    <w:p w14:paraId="5369F987">
      <w:pPr>
        <w:tabs>
          <w:tab w:val="left" w:pos="2410"/>
        </w:tabs>
        <w:spacing w:line="298" w:lineRule="auto"/>
        <w:ind w:left="2410"/>
        <w:rPr>
          <w:rFonts w:hint="eastAsia" w:ascii="宋体" w:hAnsi="宋体" w:cs="宋体"/>
          <w:sz w:val="24"/>
        </w:rPr>
      </w:pPr>
    </w:p>
    <w:p w14:paraId="0A39746C">
      <w:pPr>
        <w:numPr>
          <w:ilvl w:val="0"/>
          <w:numId w:val="1"/>
        </w:numPr>
        <w:tabs>
          <w:tab w:val="left" w:pos="1080"/>
          <w:tab w:val="clear" w:pos="4260"/>
        </w:tabs>
        <w:spacing w:line="298" w:lineRule="auto"/>
        <w:ind w:left="0" w:firstLine="0"/>
        <w:jc w:val="center"/>
        <w:rPr>
          <w:rFonts w:hint="eastAsia" w:ascii="宋体" w:hAnsi="宋体" w:eastAsia="宋体" w:cs="宋体"/>
          <w:b/>
          <w:sz w:val="24"/>
        </w:rPr>
      </w:pPr>
      <w:r>
        <w:rPr>
          <w:rFonts w:hint="eastAsia" w:ascii="宋体" w:hAnsi="宋体" w:eastAsia="宋体" w:cs="宋体"/>
          <w:b/>
          <w:sz w:val="24"/>
        </w:rPr>
        <w:t>对外捐赠的决策程序和规则</w:t>
      </w:r>
    </w:p>
    <w:p w14:paraId="60DC7E67">
      <w:pPr>
        <w:spacing w:line="298" w:lineRule="auto"/>
        <w:ind w:left="3435"/>
        <w:rPr>
          <w:rFonts w:hint="eastAsia" w:ascii="宋体" w:hAnsi="宋体" w:cs="宋体"/>
          <w:sz w:val="24"/>
        </w:rPr>
      </w:pPr>
    </w:p>
    <w:p w14:paraId="19C25563">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sz w:val="24"/>
        </w:rPr>
        <w:t>公司对外捐赠的审批应严格按照国家相关法律、法规和《公司章程》、《股东会议事规则》、《董事会议事规则》及本办法规定的权限履行审批程序。</w:t>
      </w:r>
      <w:r>
        <w:rPr>
          <w:rFonts w:hint="eastAsia" w:ascii="宋体" w:hAnsi="宋体" w:cs="宋体"/>
          <w:sz w:val="24"/>
        </w:rPr>
        <w:cr/>
      </w:r>
    </w:p>
    <w:p w14:paraId="075FE7B5">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sz w:val="24"/>
        </w:rPr>
        <w:t>对外捐赠以过去连续12个月为核算周期，根据捐赠金额大小分级审批。对外捐赠包括现金和实物资产捐赠，其中：实物资产按捐赠时的账面净值等比例折算为金额计算，同时存在账面值和评估值的，以高者为准。公司及公司下属全资、控股子公司发生的对外捐赠按如下标准审议执行：</w:t>
      </w:r>
    </w:p>
    <w:p w14:paraId="60E6E908">
      <w:pPr>
        <w:numPr>
          <w:ilvl w:val="3"/>
          <w:numId w:val="2"/>
        </w:numPr>
        <w:tabs>
          <w:tab w:val="left" w:pos="2410"/>
          <w:tab w:val="clear" w:pos="1980"/>
        </w:tabs>
        <w:spacing w:line="298" w:lineRule="auto"/>
        <w:ind w:left="2410" w:hanging="992"/>
        <w:rPr>
          <w:rFonts w:hint="eastAsia" w:ascii="宋体" w:hAnsi="宋体" w:cs="宋体"/>
          <w:sz w:val="24"/>
        </w:rPr>
      </w:pPr>
      <w:r>
        <w:rPr>
          <w:rFonts w:hint="eastAsia" w:ascii="宋体" w:hAnsi="宋体" w:cs="宋体"/>
          <w:sz w:val="24"/>
        </w:rPr>
        <w:t>单笔捐赠金额或连续12个月内累计捐赠总额占公司最近一期经审计净资产的10%或净利润的10%以上的，由公司董事会审议通过后实施；</w:t>
      </w:r>
    </w:p>
    <w:p w14:paraId="356CF701">
      <w:pPr>
        <w:numPr>
          <w:ilvl w:val="3"/>
          <w:numId w:val="2"/>
        </w:numPr>
        <w:tabs>
          <w:tab w:val="left" w:pos="2410"/>
          <w:tab w:val="clear" w:pos="1980"/>
        </w:tabs>
        <w:spacing w:line="298" w:lineRule="auto"/>
        <w:ind w:left="2410" w:hanging="992"/>
        <w:rPr>
          <w:rFonts w:hint="eastAsia" w:ascii="宋体" w:hAnsi="宋体" w:cs="宋体"/>
          <w:sz w:val="24"/>
        </w:rPr>
      </w:pPr>
      <w:r>
        <w:rPr>
          <w:rFonts w:hint="eastAsia" w:ascii="宋体" w:hAnsi="宋体" w:cs="宋体"/>
          <w:sz w:val="24"/>
        </w:rPr>
        <w:t>单笔捐赠金额或连续12个月内累计捐赠总额占公司最近一期经审计净资产的50%或净利润的50%以上的，由公司股东会批准后实施；</w:t>
      </w:r>
    </w:p>
    <w:p w14:paraId="69E3E726">
      <w:pPr>
        <w:numPr>
          <w:ilvl w:val="3"/>
          <w:numId w:val="2"/>
        </w:numPr>
        <w:tabs>
          <w:tab w:val="left" w:pos="2410"/>
          <w:tab w:val="clear" w:pos="1980"/>
        </w:tabs>
        <w:spacing w:line="298" w:lineRule="auto"/>
        <w:ind w:left="2410" w:hanging="992"/>
        <w:rPr>
          <w:rFonts w:hint="eastAsia" w:ascii="宋体" w:hAnsi="宋体" w:cs="宋体"/>
          <w:sz w:val="24"/>
        </w:rPr>
      </w:pPr>
      <w:r>
        <w:rPr>
          <w:rFonts w:hint="eastAsia" w:ascii="宋体" w:hAnsi="宋体" w:cs="宋体"/>
          <w:sz w:val="24"/>
        </w:rPr>
        <w:t>未达到需提交董事会审议标准的对外捐赠，由公司</w:t>
      </w:r>
      <w:r>
        <w:rPr>
          <w:rFonts w:hint="eastAsia" w:ascii="宋体" w:hAnsi="宋体" w:cs="宋体"/>
          <w:sz w:val="24"/>
          <w:lang w:val="en-US" w:eastAsia="zh-CN"/>
        </w:rPr>
        <w:t>董事长</w:t>
      </w:r>
      <w:r>
        <w:rPr>
          <w:rFonts w:hint="eastAsia" w:ascii="宋体" w:hAnsi="宋体" w:cs="宋体"/>
          <w:sz w:val="24"/>
        </w:rPr>
        <w:t>审批通过后实施；</w:t>
      </w:r>
      <w:bookmarkStart w:id="0" w:name="_GoBack"/>
      <w:bookmarkEnd w:id="0"/>
    </w:p>
    <w:p w14:paraId="5D6F3FE9">
      <w:pPr>
        <w:numPr>
          <w:ilvl w:val="3"/>
          <w:numId w:val="2"/>
        </w:numPr>
        <w:tabs>
          <w:tab w:val="left" w:pos="2410"/>
          <w:tab w:val="clear" w:pos="1980"/>
        </w:tabs>
        <w:spacing w:line="298" w:lineRule="auto"/>
        <w:ind w:left="2410" w:hanging="992"/>
        <w:rPr>
          <w:rFonts w:hint="eastAsia" w:ascii="宋体" w:hAnsi="宋体" w:cs="宋体"/>
          <w:sz w:val="24"/>
        </w:rPr>
      </w:pPr>
      <w:r>
        <w:rPr>
          <w:rFonts w:hint="eastAsia" w:ascii="宋体" w:hAnsi="宋体" w:cs="宋体"/>
          <w:sz w:val="24"/>
        </w:rPr>
        <w:t>已按照本条规定履行相关义务的，不再纳入相关的累计计算范围。本办法中所述“累计捐赠金额”，包括公司及全资、控股子公司同期发生的捐赠金额。</w:t>
      </w:r>
    </w:p>
    <w:p w14:paraId="3F7BE6C3">
      <w:pPr>
        <w:tabs>
          <w:tab w:val="left" w:pos="1980"/>
        </w:tabs>
        <w:spacing w:line="298" w:lineRule="auto"/>
        <w:rPr>
          <w:rFonts w:hint="eastAsia" w:ascii="宋体" w:hAnsi="宋体" w:cs="宋体"/>
          <w:sz w:val="24"/>
        </w:rPr>
      </w:pPr>
    </w:p>
    <w:p w14:paraId="3BCD4BF4">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sz w:val="24"/>
        </w:rPr>
        <w:t>公司对外捐赠，由经办部门拟定捐赠方案，由财务部门就捐赠支出对公司财务状况和经营成果的影响进行分析，经办部门分管领导审核后，按照本办法第十三条所列情况，履行相应的审批程序。</w:t>
      </w:r>
    </w:p>
    <w:p w14:paraId="1919A057">
      <w:pPr>
        <w:tabs>
          <w:tab w:val="left" w:pos="2410"/>
        </w:tabs>
        <w:spacing w:line="298" w:lineRule="auto"/>
        <w:ind w:left="1418"/>
        <w:rPr>
          <w:rFonts w:hint="eastAsia" w:ascii="宋体" w:hAnsi="宋体" w:cs="宋体"/>
          <w:sz w:val="24"/>
        </w:rPr>
      </w:pPr>
      <w:r>
        <w:rPr>
          <w:rFonts w:hint="eastAsia" w:ascii="宋体" w:hAnsi="宋体" w:cs="宋体"/>
          <w:sz w:val="24"/>
        </w:rPr>
        <w:t>捐赠方案应当包括以下内容：捐赠事由、捐赠对象、捐赠途径、捐赠方式、捐赠财产构成及其数额等内容。</w:t>
      </w:r>
    </w:p>
    <w:p w14:paraId="7670CADF">
      <w:pPr>
        <w:tabs>
          <w:tab w:val="left" w:pos="2410"/>
        </w:tabs>
        <w:spacing w:line="298" w:lineRule="auto"/>
        <w:ind w:left="1418"/>
        <w:rPr>
          <w:rFonts w:hint="eastAsia" w:ascii="宋体" w:hAnsi="宋体" w:cs="宋体"/>
          <w:sz w:val="24"/>
        </w:rPr>
      </w:pPr>
    </w:p>
    <w:p w14:paraId="1842C51A">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sz w:val="24"/>
        </w:rPr>
        <w:t>公司对外捐赠事项完成后，经办部门必须将相关批复、捐赠证明及捐赠执行的图文资料妥善存档备查。对外捐赠事项管理列入公司审计内容。</w:t>
      </w:r>
    </w:p>
    <w:p w14:paraId="7EACEC61">
      <w:pPr>
        <w:tabs>
          <w:tab w:val="left" w:pos="2410"/>
        </w:tabs>
        <w:spacing w:line="298" w:lineRule="auto"/>
        <w:ind w:left="1418"/>
        <w:rPr>
          <w:rFonts w:hint="eastAsia" w:ascii="宋体" w:hAnsi="宋体" w:cs="宋体"/>
          <w:sz w:val="24"/>
        </w:rPr>
      </w:pPr>
    </w:p>
    <w:p w14:paraId="0A5C3FEF">
      <w:pPr>
        <w:numPr>
          <w:ilvl w:val="0"/>
          <w:numId w:val="1"/>
        </w:numPr>
        <w:tabs>
          <w:tab w:val="left" w:pos="1080"/>
          <w:tab w:val="clear" w:pos="4260"/>
        </w:tabs>
        <w:spacing w:line="298" w:lineRule="auto"/>
        <w:ind w:left="0" w:firstLine="0"/>
        <w:jc w:val="center"/>
        <w:rPr>
          <w:rFonts w:hint="eastAsia" w:ascii="宋体" w:hAnsi="宋体" w:eastAsia="宋体" w:cs="宋体"/>
          <w:b/>
          <w:sz w:val="24"/>
        </w:rPr>
      </w:pPr>
      <w:r>
        <w:rPr>
          <w:rFonts w:hint="eastAsia" w:ascii="宋体" w:hAnsi="宋体" w:eastAsia="宋体" w:cs="宋体"/>
          <w:b/>
          <w:sz w:val="24"/>
        </w:rPr>
        <w:t>法律责任</w:t>
      </w:r>
    </w:p>
    <w:p w14:paraId="6E99FAA0">
      <w:pPr>
        <w:tabs>
          <w:tab w:val="left" w:pos="2410"/>
        </w:tabs>
        <w:spacing w:line="298" w:lineRule="auto"/>
        <w:ind w:left="1418"/>
        <w:rPr>
          <w:rFonts w:hint="eastAsia" w:ascii="宋体" w:hAnsi="宋体" w:cs="宋体"/>
          <w:sz w:val="24"/>
        </w:rPr>
      </w:pPr>
    </w:p>
    <w:p w14:paraId="58C4762A">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sz w:val="24"/>
        </w:rPr>
        <w:t>未执行本办法规定而擅自进行捐赠，或者以权谋私、转移资产等违法违纪的捐赠，公司将视情节轻重，对负有直接责任的主管人员和其他直接责任人处以降薪降职、免职、解除劳动合同等处分，构成犯罪的，移交司法机关处理。</w:t>
      </w:r>
    </w:p>
    <w:p w14:paraId="21113DCB">
      <w:pPr>
        <w:tabs>
          <w:tab w:val="left" w:pos="1980"/>
        </w:tabs>
        <w:spacing w:line="298" w:lineRule="auto"/>
        <w:ind w:left="1440"/>
        <w:rPr>
          <w:rFonts w:hint="eastAsia" w:ascii="宋体" w:hAnsi="宋体" w:cs="宋体"/>
          <w:sz w:val="24"/>
        </w:rPr>
      </w:pPr>
    </w:p>
    <w:p w14:paraId="368442CC">
      <w:pPr>
        <w:numPr>
          <w:ilvl w:val="0"/>
          <w:numId w:val="1"/>
        </w:numPr>
        <w:tabs>
          <w:tab w:val="left" w:pos="1080"/>
          <w:tab w:val="clear" w:pos="4260"/>
        </w:tabs>
        <w:spacing w:line="298" w:lineRule="auto"/>
        <w:ind w:left="0" w:firstLine="0"/>
        <w:jc w:val="center"/>
        <w:rPr>
          <w:rFonts w:hint="eastAsia" w:ascii="宋体" w:hAnsi="宋体" w:eastAsia="宋体" w:cs="宋体"/>
          <w:b/>
          <w:sz w:val="24"/>
        </w:rPr>
      </w:pPr>
      <w:r>
        <w:rPr>
          <w:rFonts w:hint="eastAsia" w:ascii="宋体" w:hAnsi="宋体" w:eastAsia="宋体" w:cs="宋体"/>
          <w:b/>
          <w:sz w:val="24"/>
        </w:rPr>
        <w:t>附  则</w:t>
      </w:r>
    </w:p>
    <w:p w14:paraId="0DE4F146">
      <w:pPr>
        <w:tabs>
          <w:tab w:val="left" w:pos="1980"/>
        </w:tabs>
        <w:spacing w:line="298" w:lineRule="auto"/>
        <w:ind w:left="1440"/>
        <w:rPr>
          <w:rFonts w:hint="eastAsia" w:ascii="宋体" w:hAnsi="宋体" w:cs="宋体"/>
          <w:sz w:val="24"/>
        </w:rPr>
      </w:pPr>
    </w:p>
    <w:p w14:paraId="4D165CB3">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sz w:val="24"/>
        </w:rPr>
        <w:t>本办法未尽事宜，依照国家有关法律、法规、规范性文件以及《公司章程》的有关规定执行。本办法与有关法律、法规、规范性文件以及《公司章程》的有关规定不一致的，以有关法律、法规、规范性文件以及《公司章程》的规定为准。</w:t>
      </w:r>
    </w:p>
    <w:p w14:paraId="18C8BDA4">
      <w:pPr>
        <w:tabs>
          <w:tab w:val="left" w:pos="1980"/>
        </w:tabs>
        <w:spacing w:line="298" w:lineRule="auto"/>
        <w:rPr>
          <w:rFonts w:hint="eastAsia" w:ascii="宋体" w:hAnsi="宋体" w:cs="宋体"/>
          <w:sz w:val="24"/>
        </w:rPr>
      </w:pPr>
    </w:p>
    <w:p w14:paraId="7C4C69B6">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sz w:val="24"/>
        </w:rPr>
        <w:t>本办法由公司董事会负责修订与解释。</w:t>
      </w:r>
    </w:p>
    <w:p w14:paraId="468397E6">
      <w:pPr>
        <w:tabs>
          <w:tab w:val="left" w:pos="1980"/>
        </w:tabs>
        <w:spacing w:line="298" w:lineRule="auto"/>
        <w:ind w:left="1440"/>
        <w:rPr>
          <w:rFonts w:hint="eastAsia" w:ascii="宋体" w:hAnsi="宋体" w:cs="宋体"/>
          <w:sz w:val="24"/>
        </w:rPr>
      </w:pPr>
    </w:p>
    <w:p w14:paraId="5045264B">
      <w:pPr>
        <w:numPr>
          <w:ilvl w:val="1"/>
          <w:numId w:val="2"/>
        </w:numPr>
        <w:tabs>
          <w:tab w:val="left" w:pos="1440"/>
          <w:tab w:val="left" w:pos="1980"/>
          <w:tab w:val="clear" w:pos="816"/>
        </w:tabs>
        <w:spacing w:line="298" w:lineRule="auto"/>
        <w:ind w:left="1440" w:hanging="1440"/>
        <w:rPr>
          <w:rFonts w:hint="eastAsia" w:ascii="宋体" w:hAnsi="宋体" w:cs="宋体"/>
          <w:sz w:val="24"/>
        </w:rPr>
      </w:pPr>
      <w:r>
        <w:rPr>
          <w:rFonts w:hint="eastAsia" w:ascii="宋体" w:hAnsi="宋体" w:cs="宋体"/>
          <w:sz w:val="24"/>
        </w:rPr>
        <w:t>本办法自董事会审议通过之日起生效，修改时亦同。</w:t>
      </w:r>
    </w:p>
    <w:p w14:paraId="4535DD57">
      <w:pPr>
        <w:tabs>
          <w:tab w:val="left" w:pos="2410"/>
        </w:tabs>
        <w:spacing w:line="298" w:lineRule="auto"/>
        <w:ind w:left="2410"/>
        <w:rPr>
          <w:rFonts w:hint="eastAsia" w:ascii="宋体" w:hAnsi="宋体" w:cs="宋体"/>
          <w:sz w:val="24"/>
        </w:rPr>
      </w:pPr>
    </w:p>
    <w:sectPr>
      <w:headerReference r:id="rId3" w:type="default"/>
      <w:footerReference r:id="rId4" w:type="default"/>
      <w:footerReference r:id="rId5" w:type="even"/>
      <w:pgSz w:w="11906" w:h="16838"/>
      <w:pgMar w:top="1985" w:right="1418" w:bottom="170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71C5">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13DEFAA0">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9931">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0CC97E7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26FB">
    <w:pPr>
      <w:pStyle w:val="5"/>
      <w:tabs>
        <w:tab w:val="center" w:pos="4536"/>
        <w:tab w:val="clear" w:pos="4153"/>
      </w:tabs>
      <w:jc w:val="left"/>
    </w:pPr>
    <w:r>
      <w:drawing>
        <wp:inline distT="0" distB="0" distL="0" distR="0">
          <wp:extent cx="381000" cy="4038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81000" cy="403860"/>
                  </a:xfrm>
                  <a:prstGeom prst="rect">
                    <a:avLst/>
                  </a:prstGeom>
                  <a:noFill/>
                  <a:ln>
                    <a:noFill/>
                  </a:ln>
                </pic:spPr>
              </pic:pic>
            </a:graphicData>
          </a:graphic>
        </wp:inline>
      </w:drawing>
    </w:r>
    <w:r>
      <w:rPr>
        <w:rFonts w:hint="eastAsia"/>
      </w:rPr>
      <w:tab/>
    </w:r>
    <w:r>
      <w:rPr>
        <w:rFonts w:hint="eastAsia"/>
      </w:rPr>
      <w:t>永兴特种材料科技股份有限公司对外捐赠管理办法</w:t>
    </w:r>
  </w:p>
  <w:p w14:paraId="4C6D6BDB">
    <w:pPr>
      <w:pStyle w:val="5"/>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CB0E96"/>
    <w:multiLevelType w:val="multilevel"/>
    <w:tmpl w:val="29CB0E96"/>
    <w:lvl w:ilvl="0" w:tentative="0">
      <w:start w:val="1"/>
      <w:numFmt w:val="chineseCountingThousand"/>
      <w:lvlText w:val="第%1条"/>
      <w:lvlJc w:val="left"/>
      <w:pPr>
        <w:tabs>
          <w:tab w:val="left" w:pos="816"/>
        </w:tabs>
        <w:ind w:left="816" w:hanging="396"/>
      </w:pPr>
      <w:rPr>
        <w:rFonts w:hint="default" w:ascii="Arial" w:hAnsi="Arial" w:eastAsia="宋体"/>
        <w:b w:val="0"/>
        <w:i w:val="0"/>
        <w:sz w:val="23"/>
        <w:szCs w:val="23"/>
      </w:rPr>
    </w:lvl>
    <w:lvl w:ilvl="1" w:tentative="0">
      <w:start w:val="1"/>
      <w:numFmt w:val="chineseCountingThousand"/>
      <w:lvlText w:val="第%2条"/>
      <w:lvlJc w:val="left"/>
      <w:pPr>
        <w:tabs>
          <w:tab w:val="left" w:pos="816"/>
        </w:tabs>
        <w:ind w:left="816" w:hanging="396"/>
      </w:pPr>
      <w:rPr>
        <w:rFonts w:hint="default" w:ascii="Arial" w:hAnsi="Arial" w:eastAsia="宋体"/>
        <w:b w:val="0"/>
        <w:i w:val="0"/>
        <w:sz w:val="24"/>
        <w:szCs w:val="24"/>
      </w:rPr>
    </w:lvl>
    <w:lvl w:ilvl="2" w:tentative="0">
      <w:start w:val="1"/>
      <w:numFmt w:val="chineseCountingThousand"/>
      <w:lvlText w:val="(%3)"/>
      <w:lvlJc w:val="left"/>
      <w:pPr>
        <w:tabs>
          <w:tab w:val="left" w:pos="1200"/>
        </w:tabs>
        <w:ind w:left="1200" w:hanging="360"/>
      </w:pPr>
      <w:rPr>
        <w:rFonts w:hint="default" w:ascii="Arial" w:hAnsi="Arial" w:eastAsia="宋体"/>
        <w:b w:val="0"/>
        <w:i w:val="0"/>
        <w:sz w:val="23"/>
        <w:szCs w:val="23"/>
      </w:rPr>
    </w:lvl>
    <w:lvl w:ilvl="3" w:tentative="0">
      <w:start w:val="1"/>
      <w:numFmt w:val="japaneseCounting"/>
      <w:lvlText w:val="（%4）"/>
      <w:lvlJc w:val="left"/>
      <w:pPr>
        <w:tabs>
          <w:tab w:val="left" w:pos="1980"/>
        </w:tabs>
        <w:ind w:left="1980" w:hanging="720"/>
      </w:pPr>
      <w:rPr>
        <w:rFonts w:ascii="宋体" w:hAnsi="宋体" w:eastAsia="宋体" w:cs="Arial"/>
      </w:rPr>
    </w:lvl>
    <w:lvl w:ilvl="4" w:tentative="0">
      <w:start w:val="1"/>
      <w:numFmt w:val="japaneseCounting"/>
      <w:lvlText w:val="(%5)"/>
      <w:lvlJc w:val="left"/>
      <w:pPr>
        <w:ind w:left="2040" w:hanging="360"/>
      </w:pPr>
      <w:rPr>
        <w:rFonts w:hint="default"/>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4070076"/>
    <w:multiLevelType w:val="multilevel"/>
    <w:tmpl w:val="44070076"/>
    <w:lvl w:ilvl="0" w:tentative="0">
      <w:start w:val="1"/>
      <w:numFmt w:val="japaneseCounting"/>
      <w:lvlText w:val="第%1章"/>
      <w:lvlJc w:val="left"/>
      <w:pPr>
        <w:tabs>
          <w:tab w:val="left" w:pos="4260"/>
        </w:tabs>
        <w:ind w:left="4260" w:hanging="825"/>
      </w:pPr>
      <w:rPr>
        <w:rFonts w:hint="eastAsia" w:ascii="宋体" w:hAnsi="宋体" w:eastAsia="宋体" w:cs="宋体"/>
        <w:b/>
      </w:rPr>
    </w:lvl>
    <w:lvl w:ilvl="1" w:tentative="0">
      <w:start w:val="1"/>
      <w:numFmt w:val="japaneseCounting"/>
      <w:lvlText w:val="第%2条"/>
      <w:lvlJc w:val="left"/>
      <w:pPr>
        <w:tabs>
          <w:tab w:val="left" w:pos="4575"/>
        </w:tabs>
        <w:ind w:left="4575" w:hanging="720"/>
      </w:pPr>
      <w:rPr>
        <w:rFonts w:hint="default"/>
      </w:rPr>
    </w:lvl>
    <w:lvl w:ilvl="2" w:tentative="0">
      <w:start w:val="1"/>
      <w:numFmt w:val="lowerRoman"/>
      <w:lvlText w:val="%3."/>
      <w:lvlJc w:val="right"/>
      <w:pPr>
        <w:tabs>
          <w:tab w:val="left" w:pos="4695"/>
        </w:tabs>
        <w:ind w:left="4695" w:hanging="420"/>
      </w:pPr>
    </w:lvl>
    <w:lvl w:ilvl="3" w:tentative="0">
      <w:start w:val="1"/>
      <w:numFmt w:val="decimal"/>
      <w:lvlText w:val="%4."/>
      <w:lvlJc w:val="left"/>
      <w:pPr>
        <w:tabs>
          <w:tab w:val="left" w:pos="5115"/>
        </w:tabs>
        <w:ind w:left="5115" w:hanging="420"/>
      </w:pPr>
    </w:lvl>
    <w:lvl w:ilvl="4" w:tentative="0">
      <w:start w:val="1"/>
      <w:numFmt w:val="lowerLetter"/>
      <w:lvlText w:val="%5)"/>
      <w:lvlJc w:val="left"/>
      <w:pPr>
        <w:tabs>
          <w:tab w:val="left" w:pos="5535"/>
        </w:tabs>
        <w:ind w:left="5535" w:hanging="420"/>
      </w:pPr>
    </w:lvl>
    <w:lvl w:ilvl="5" w:tentative="0">
      <w:start w:val="1"/>
      <w:numFmt w:val="lowerRoman"/>
      <w:lvlText w:val="%6."/>
      <w:lvlJc w:val="right"/>
      <w:pPr>
        <w:tabs>
          <w:tab w:val="left" w:pos="5955"/>
        </w:tabs>
        <w:ind w:left="5955" w:hanging="420"/>
      </w:pPr>
    </w:lvl>
    <w:lvl w:ilvl="6" w:tentative="0">
      <w:start w:val="1"/>
      <w:numFmt w:val="decimal"/>
      <w:lvlText w:val="%7."/>
      <w:lvlJc w:val="left"/>
      <w:pPr>
        <w:tabs>
          <w:tab w:val="left" w:pos="6375"/>
        </w:tabs>
        <w:ind w:left="6375" w:hanging="420"/>
      </w:pPr>
    </w:lvl>
    <w:lvl w:ilvl="7" w:tentative="0">
      <w:start w:val="1"/>
      <w:numFmt w:val="lowerLetter"/>
      <w:lvlText w:val="%8)"/>
      <w:lvlJc w:val="left"/>
      <w:pPr>
        <w:tabs>
          <w:tab w:val="left" w:pos="6795"/>
        </w:tabs>
        <w:ind w:left="6795" w:hanging="420"/>
      </w:pPr>
    </w:lvl>
    <w:lvl w:ilvl="8" w:tentative="0">
      <w:start w:val="1"/>
      <w:numFmt w:val="lowerRoman"/>
      <w:lvlText w:val="%9."/>
      <w:lvlJc w:val="right"/>
      <w:pPr>
        <w:tabs>
          <w:tab w:val="left" w:pos="7215"/>
        </w:tabs>
        <w:ind w:left="7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6F1"/>
    <w:rsid w:val="00000E84"/>
    <w:rsid w:val="0000138F"/>
    <w:rsid w:val="0000184D"/>
    <w:rsid w:val="0001227D"/>
    <w:rsid w:val="000222D2"/>
    <w:rsid w:val="00024814"/>
    <w:rsid w:val="00032C35"/>
    <w:rsid w:val="00044712"/>
    <w:rsid w:val="00050444"/>
    <w:rsid w:val="00065774"/>
    <w:rsid w:val="00066EFB"/>
    <w:rsid w:val="0008424D"/>
    <w:rsid w:val="000B1287"/>
    <w:rsid w:val="000B4C33"/>
    <w:rsid w:val="000B4FA1"/>
    <w:rsid w:val="000B56C9"/>
    <w:rsid w:val="000C3187"/>
    <w:rsid w:val="000C4609"/>
    <w:rsid w:val="000D1E2C"/>
    <w:rsid w:val="000D587B"/>
    <w:rsid w:val="000D6799"/>
    <w:rsid w:val="000E0CCA"/>
    <w:rsid w:val="000E71C4"/>
    <w:rsid w:val="000F2E93"/>
    <w:rsid w:val="000F2FD5"/>
    <w:rsid w:val="00107AAC"/>
    <w:rsid w:val="0011763D"/>
    <w:rsid w:val="00133778"/>
    <w:rsid w:val="00135A34"/>
    <w:rsid w:val="00146A2E"/>
    <w:rsid w:val="00147737"/>
    <w:rsid w:val="00151D09"/>
    <w:rsid w:val="00157EAE"/>
    <w:rsid w:val="00177E76"/>
    <w:rsid w:val="001928BD"/>
    <w:rsid w:val="00192E70"/>
    <w:rsid w:val="001A036A"/>
    <w:rsid w:val="001A19F9"/>
    <w:rsid w:val="001B57D8"/>
    <w:rsid w:val="001C6147"/>
    <w:rsid w:val="001D10A5"/>
    <w:rsid w:val="001D621F"/>
    <w:rsid w:val="001D6C3A"/>
    <w:rsid w:val="001E104D"/>
    <w:rsid w:val="001F7875"/>
    <w:rsid w:val="00202C38"/>
    <w:rsid w:val="002049BD"/>
    <w:rsid w:val="00207CD0"/>
    <w:rsid w:val="0021098B"/>
    <w:rsid w:val="00214182"/>
    <w:rsid w:val="0021585F"/>
    <w:rsid w:val="002276DF"/>
    <w:rsid w:val="00232F62"/>
    <w:rsid w:val="00235C9C"/>
    <w:rsid w:val="0025524A"/>
    <w:rsid w:val="00275452"/>
    <w:rsid w:val="00280053"/>
    <w:rsid w:val="00285413"/>
    <w:rsid w:val="002A567F"/>
    <w:rsid w:val="002A6027"/>
    <w:rsid w:val="002B5182"/>
    <w:rsid w:val="002B6075"/>
    <w:rsid w:val="002C04DF"/>
    <w:rsid w:val="002C78B9"/>
    <w:rsid w:val="002D2FD6"/>
    <w:rsid w:val="002D463E"/>
    <w:rsid w:val="002D6C87"/>
    <w:rsid w:val="00306975"/>
    <w:rsid w:val="003072D1"/>
    <w:rsid w:val="00311FC3"/>
    <w:rsid w:val="00316227"/>
    <w:rsid w:val="00330108"/>
    <w:rsid w:val="003337CE"/>
    <w:rsid w:val="003453C6"/>
    <w:rsid w:val="0035716F"/>
    <w:rsid w:val="00357EA7"/>
    <w:rsid w:val="00385F69"/>
    <w:rsid w:val="00387A50"/>
    <w:rsid w:val="003A456A"/>
    <w:rsid w:val="003A6AD8"/>
    <w:rsid w:val="003B2E38"/>
    <w:rsid w:val="003C7006"/>
    <w:rsid w:val="003C7559"/>
    <w:rsid w:val="003C7EE9"/>
    <w:rsid w:val="003D41F9"/>
    <w:rsid w:val="003F2BDB"/>
    <w:rsid w:val="003F477A"/>
    <w:rsid w:val="003F4C60"/>
    <w:rsid w:val="004004F8"/>
    <w:rsid w:val="00400F5B"/>
    <w:rsid w:val="004042ED"/>
    <w:rsid w:val="00405E89"/>
    <w:rsid w:val="00406B90"/>
    <w:rsid w:val="0041099F"/>
    <w:rsid w:val="00420F06"/>
    <w:rsid w:val="004220AB"/>
    <w:rsid w:val="004335D7"/>
    <w:rsid w:val="00435115"/>
    <w:rsid w:val="00441912"/>
    <w:rsid w:val="00464694"/>
    <w:rsid w:val="00464BF5"/>
    <w:rsid w:val="00480C62"/>
    <w:rsid w:val="00483F82"/>
    <w:rsid w:val="0048545D"/>
    <w:rsid w:val="00493183"/>
    <w:rsid w:val="004B2582"/>
    <w:rsid w:val="004B2C1E"/>
    <w:rsid w:val="004B7CC2"/>
    <w:rsid w:val="004C5D36"/>
    <w:rsid w:val="004C7FB1"/>
    <w:rsid w:val="004D2FDF"/>
    <w:rsid w:val="004E12DE"/>
    <w:rsid w:val="004E1703"/>
    <w:rsid w:val="004F68AA"/>
    <w:rsid w:val="00510867"/>
    <w:rsid w:val="005148E6"/>
    <w:rsid w:val="00526264"/>
    <w:rsid w:val="00537850"/>
    <w:rsid w:val="00541947"/>
    <w:rsid w:val="005428A5"/>
    <w:rsid w:val="00563486"/>
    <w:rsid w:val="005676D4"/>
    <w:rsid w:val="00567DFB"/>
    <w:rsid w:val="00575DD1"/>
    <w:rsid w:val="005816F1"/>
    <w:rsid w:val="005839E5"/>
    <w:rsid w:val="005A0036"/>
    <w:rsid w:val="005A26D3"/>
    <w:rsid w:val="005B0A92"/>
    <w:rsid w:val="005B2F01"/>
    <w:rsid w:val="005C0553"/>
    <w:rsid w:val="005C3D69"/>
    <w:rsid w:val="005D02A9"/>
    <w:rsid w:val="005E4A51"/>
    <w:rsid w:val="005E5D36"/>
    <w:rsid w:val="005F0345"/>
    <w:rsid w:val="005F1284"/>
    <w:rsid w:val="005F38A1"/>
    <w:rsid w:val="00600193"/>
    <w:rsid w:val="006062C1"/>
    <w:rsid w:val="00610943"/>
    <w:rsid w:val="00623C89"/>
    <w:rsid w:val="00624E91"/>
    <w:rsid w:val="006255B5"/>
    <w:rsid w:val="006256A2"/>
    <w:rsid w:val="00630C3D"/>
    <w:rsid w:val="0063307D"/>
    <w:rsid w:val="00635096"/>
    <w:rsid w:val="00641428"/>
    <w:rsid w:val="006509F6"/>
    <w:rsid w:val="00651951"/>
    <w:rsid w:val="00672DB4"/>
    <w:rsid w:val="0067470E"/>
    <w:rsid w:val="0067717B"/>
    <w:rsid w:val="006B72E5"/>
    <w:rsid w:val="006C0048"/>
    <w:rsid w:val="006C22F3"/>
    <w:rsid w:val="006C524F"/>
    <w:rsid w:val="006C7BCD"/>
    <w:rsid w:val="006C7BF6"/>
    <w:rsid w:val="006D0AAB"/>
    <w:rsid w:val="006E03D5"/>
    <w:rsid w:val="006E224A"/>
    <w:rsid w:val="00700FA2"/>
    <w:rsid w:val="00715F0F"/>
    <w:rsid w:val="0072634E"/>
    <w:rsid w:val="00732191"/>
    <w:rsid w:val="0074429D"/>
    <w:rsid w:val="0075525B"/>
    <w:rsid w:val="007555EB"/>
    <w:rsid w:val="0075603C"/>
    <w:rsid w:val="00762AA5"/>
    <w:rsid w:val="0076387A"/>
    <w:rsid w:val="00765DF4"/>
    <w:rsid w:val="007670B1"/>
    <w:rsid w:val="0078579B"/>
    <w:rsid w:val="00793ADB"/>
    <w:rsid w:val="00794E4B"/>
    <w:rsid w:val="00795A85"/>
    <w:rsid w:val="007A3642"/>
    <w:rsid w:val="007A7D45"/>
    <w:rsid w:val="007B1634"/>
    <w:rsid w:val="007B24F0"/>
    <w:rsid w:val="007C1530"/>
    <w:rsid w:val="007C739C"/>
    <w:rsid w:val="007E4509"/>
    <w:rsid w:val="007E4B47"/>
    <w:rsid w:val="007F3562"/>
    <w:rsid w:val="007F5A0F"/>
    <w:rsid w:val="00800443"/>
    <w:rsid w:val="00806DFC"/>
    <w:rsid w:val="0081752D"/>
    <w:rsid w:val="00822749"/>
    <w:rsid w:val="008254C1"/>
    <w:rsid w:val="008336F9"/>
    <w:rsid w:val="00833BF2"/>
    <w:rsid w:val="00845D60"/>
    <w:rsid w:val="008536A0"/>
    <w:rsid w:val="00862531"/>
    <w:rsid w:val="008640A0"/>
    <w:rsid w:val="00867B6C"/>
    <w:rsid w:val="00870FEA"/>
    <w:rsid w:val="00880E5B"/>
    <w:rsid w:val="00881F7C"/>
    <w:rsid w:val="00883E62"/>
    <w:rsid w:val="008850C7"/>
    <w:rsid w:val="008A1F59"/>
    <w:rsid w:val="008A342B"/>
    <w:rsid w:val="008B15C1"/>
    <w:rsid w:val="008B69F6"/>
    <w:rsid w:val="008D00E3"/>
    <w:rsid w:val="008D65D1"/>
    <w:rsid w:val="008E5C59"/>
    <w:rsid w:val="009011A6"/>
    <w:rsid w:val="00901C68"/>
    <w:rsid w:val="00903950"/>
    <w:rsid w:val="00912D55"/>
    <w:rsid w:val="00912E09"/>
    <w:rsid w:val="00913199"/>
    <w:rsid w:val="0092303E"/>
    <w:rsid w:val="00930D3B"/>
    <w:rsid w:val="0093153D"/>
    <w:rsid w:val="00932D98"/>
    <w:rsid w:val="00936A1D"/>
    <w:rsid w:val="00943F43"/>
    <w:rsid w:val="00952A95"/>
    <w:rsid w:val="00960561"/>
    <w:rsid w:val="00962720"/>
    <w:rsid w:val="009721F3"/>
    <w:rsid w:val="00983BA3"/>
    <w:rsid w:val="00985803"/>
    <w:rsid w:val="00987981"/>
    <w:rsid w:val="0099177E"/>
    <w:rsid w:val="00993AF1"/>
    <w:rsid w:val="009A57C8"/>
    <w:rsid w:val="009B1223"/>
    <w:rsid w:val="009B3F5F"/>
    <w:rsid w:val="009C68CA"/>
    <w:rsid w:val="009D1530"/>
    <w:rsid w:val="009D776C"/>
    <w:rsid w:val="009F3ADF"/>
    <w:rsid w:val="00A049D9"/>
    <w:rsid w:val="00A149EB"/>
    <w:rsid w:val="00A166B6"/>
    <w:rsid w:val="00A201BD"/>
    <w:rsid w:val="00A31FC6"/>
    <w:rsid w:val="00A379E9"/>
    <w:rsid w:val="00A41AB9"/>
    <w:rsid w:val="00A44472"/>
    <w:rsid w:val="00A56CEA"/>
    <w:rsid w:val="00A61C71"/>
    <w:rsid w:val="00A6546D"/>
    <w:rsid w:val="00A825AA"/>
    <w:rsid w:val="00A82896"/>
    <w:rsid w:val="00A9076F"/>
    <w:rsid w:val="00A958B6"/>
    <w:rsid w:val="00AA2AA6"/>
    <w:rsid w:val="00AB1B2E"/>
    <w:rsid w:val="00AB3891"/>
    <w:rsid w:val="00AC0769"/>
    <w:rsid w:val="00AC721B"/>
    <w:rsid w:val="00AC7CC7"/>
    <w:rsid w:val="00AD22A0"/>
    <w:rsid w:val="00AD2601"/>
    <w:rsid w:val="00AD75B4"/>
    <w:rsid w:val="00AE47E4"/>
    <w:rsid w:val="00AE5EC7"/>
    <w:rsid w:val="00AF2544"/>
    <w:rsid w:val="00AF35D4"/>
    <w:rsid w:val="00B009E9"/>
    <w:rsid w:val="00B00DE7"/>
    <w:rsid w:val="00B03F86"/>
    <w:rsid w:val="00B06F55"/>
    <w:rsid w:val="00B13566"/>
    <w:rsid w:val="00B35EF9"/>
    <w:rsid w:val="00B420F0"/>
    <w:rsid w:val="00B53D12"/>
    <w:rsid w:val="00B57910"/>
    <w:rsid w:val="00B61833"/>
    <w:rsid w:val="00B7146A"/>
    <w:rsid w:val="00B75C21"/>
    <w:rsid w:val="00BA050B"/>
    <w:rsid w:val="00BA3393"/>
    <w:rsid w:val="00BB6C97"/>
    <w:rsid w:val="00BC6034"/>
    <w:rsid w:val="00BD14FF"/>
    <w:rsid w:val="00BD44BA"/>
    <w:rsid w:val="00BE0386"/>
    <w:rsid w:val="00BE1795"/>
    <w:rsid w:val="00BE5C2F"/>
    <w:rsid w:val="00BF3146"/>
    <w:rsid w:val="00BF6B63"/>
    <w:rsid w:val="00C04533"/>
    <w:rsid w:val="00C07183"/>
    <w:rsid w:val="00C14C29"/>
    <w:rsid w:val="00C21508"/>
    <w:rsid w:val="00C21FC9"/>
    <w:rsid w:val="00C24CEE"/>
    <w:rsid w:val="00C27DA1"/>
    <w:rsid w:val="00C307D2"/>
    <w:rsid w:val="00C351EE"/>
    <w:rsid w:val="00C36A0F"/>
    <w:rsid w:val="00C45DB9"/>
    <w:rsid w:val="00C61865"/>
    <w:rsid w:val="00C7114B"/>
    <w:rsid w:val="00C73507"/>
    <w:rsid w:val="00C775BC"/>
    <w:rsid w:val="00C90BD2"/>
    <w:rsid w:val="00CA2A9B"/>
    <w:rsid w:val="00CA2EE0"/>
    <w:rsid w:val="00CA3B9C"/>
    <w:rsid w:val="00CB6A96"/>
    <w:rsid w:val="00CC58A2"/>
    <w:rsid w:val="00CD0890"/>
    <w:rsid w:val="00CD49C5"/>
    <w:rsid w:val="00CD6DE3"/>
    <w:rsid w:val="00CE017E"/>
    <w:rsid w:val="00CE04D5"/>
    <w:rsid w:val="00D01907"/>
    <w:rsid w:val="00D05617"/>
    <w:rsid w:val="00D06907"/>
    <w:rsid w:val="00D30385"/>
    <w:rsid w:val="00D33133"/>
    <w:rsid w:val="00D347F1"/>
    <w:rsid w:val="00D34A36"/>
    <w:rsid w:val="00D35DCB"/>
    <w:rsid w:val="00D44F3D"/>
    <w:rsid w:val="00D4598B"/>
    <w:rsid w:val="00D513A5"/>
    <w:rsid w:val="00D52A54"/>
    <w:rsid w:val="00D6040F"/>
    <w:rsid w:val="00D75AA8"/>
    <w:rsid w:val="00D77AC1"/>
    <w:rsid w:val="00D85FE9"/>
    <w:rsid w:val="00D877E8"/>
    <w:rsid w:val="00D91606"/>
    <w:rsid w:val="00DA02E4"/>
    <w:rsid w:val="00DA195A"/>
    <w:rsid w:val="00DA6191"/>
    <w:rsid w:val="00DC051F"/>
    <w:rsid w:val="00DC1A7F"/>
    <w:rsid w:val="00DE63C0"/>
    <w:rsid w:val="00DF4439"/>
    <w:rsid w:val="00E00B80"/>
    <w:rsid w:val="00E01420"/>
    <w:rsid w:val="00E0209E"/>
    <w:rsid w:val="00E045D4"/>
    <w:rsid w:val="00E05823"/>
    <w:rsid w:val="00E1186B"/>
    <w:rsid w:val="00E14B6A"/>
    <w:rsid w:val="00E17817"/>
    <w:rsid w:val="00E245CF"/>
    <w:rsid w:val="00E261BA"/>
    <w:rsid w:val="00E263D0"/>
    <w:rsid w:val="00E319CD"/>
    <w:rsid w:val="00E341DD"/>
    <w:rsid w:val="00E42EFB"/>
    <w:rsid w:val="00E47853"/>
    <w:rsid w:val="00E506FC"/>
    <w:rsid w:val="00E579DD"/>
    <w:rsid w:val="00E63A5E"/>
    <w:rsid w:val="00E6544B"/>
    <w:rsid w:val="00E84210"/>
    <w:rsid w:val="00E84DF9"/>
    <w:rsid w:val="00E91A9C"/>
    <w:rsid w:val="00EA4A69"/>
    <w:rsid w:val="00EB08C7"/>
    <w:rsid w:val="00EB2011"/>
    <w:rsid w:val="00EC1E4E"/>
    <w:rsid w:val="00EC42E5"/>
    <w:rsid w:val="00ED6CD5"/>
    <w:rsid w:val="00EF1A1C"/>
    <w:rsid w:val="00EF2956"/>
    <w:rsid w:val="00EF7282"/>
    <w:rsid w:val="00F01F0B"/>
    <w:rsid w:val="00F022B8"/>
    <w:rsid w:val="00F03C52"/>
    <w:rsid w:val="00F10166"/>
    <w:rsid w:val="00F10476"/>
    <w:rsid w:val="00F11E88"/>
    <w:rsid w:val="00F14561"/>
    <w:rsid w:val="00F373F5"/>
    <w:rsid w:val="00F41B5D"/>
    <w:rsid w:val="00F41BFE"/>
    <w:rsid w:val="00F45A0D"/>
    <w:rsid w:val="00F46573"/>
    <w:rsid w:val="00F520C2"/>
    <w:rsid w:val="00F5482E"/>
    <w:rsid w:val="00F54AAE"/>
    <w:rsid w:val="00F56E84"/>
    <w:rsid w:val="00F603C0"/>
    <w:rsid w:val="00F612C1"/>
    <w:rsid w:val="00F61521"/>
    <w:rsid w:val="00F70BF5"/>
    <w:rsid w:val="00F72CC1"/>
    <w:rsid w:val="00F7653D"/>
    <w:rsid w:val="00F85EE7"/>
    <w:rsid w:val="00FA46BA"/>
    <w:rsid w:val="00FB3A3F"/>
    <w:rsid w:val="00FC2B24"/>
    <w:rsid w:val="00FE6569"/>
    <w:rsid w:val="00FF1A32"/>
    <w:rsid w:val="00FF4C9E"/>
    <w:rsid w:val="00FF7781"/>
    <w:rsid w:val="5B6346C4"/>
    <w:rsid w:val="64D24292"/>
    <w:rsid w:val="6F667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8"/>
    <w:qFormat/>
    <w:uiPriority w:val="0"/>
    <w:pPr>
      <w:jc w:val="left"/>
    </w:pPr>
  </w:style>
  <w:style w:type="paragraph" w:styleId="3">
    <w:name w:val="Balloon Text"/>
    <w:basedOn w:val="1"/>
    <w:semiHidden/>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9"/>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style>
  <w:style w:type="character" w:styleId="11">
    <w:name w:val="annotation reference"/>
    <w:qFormat/>
    <w:uiPriority w:val="0"/>
    <w:rPr>
      <w:sz w:val="21"/>
      <w:szCs w:val="21"/>
    </w:rPr>
  </w:style>
  <w:style w:type="paragraph" w:customStyle="1" w:styleId="12">
    <w:name w:val="Char Char Char Char1 Char Char Char Char Char Char Char Char Char1 Char Char Char Char Char Char Char Char Char Char Char Char"/>
    <w:basedOn w:val="1"/>
    <w:qFormat/>
    <w:uiPriority w:val="0"/>
    <w:pPr>
      <w:widowControl/>
      <w:spacing w:after="160" w:line="240" w:lineRule="exact"/>
      <w:jc w:val="left"/>
    </w:pPr>
    <w:rPr>
      <w:kern w:val="0"/>
      <w:sz w:val="20"/>
      <w:szCs w:val="20"/>
    </w:rPr>
  </w:style>
  <w:style w:type="paragraph" w:customStyle="1" w:styleId="13">
    <w:name w:val="Char"/>
    <w:basedOn w:val="1"/>
    <w:qFormat/>
    <w:uiPriority w:val="0"/>
    <w:pPr>
      <w:widowControl/>
      <w:spacing w:after="160" w:line="240" w:lineRule="exact"/>
      <w:jc w:val="left"/>
    </w:pPr>
    <w:rPr>
      <w:kern w:val="0"/>
      <w:sz w:val="20"/>
      <w:szCs w:val="20"/>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
    <w:name w:val="CM1"/>
    <w:basedOn w:val="14"/>
    <w:next w:val="14"/>
    <w:qFormat/>
    <w:uiPriority w:val="0"/>
    <w:pPr>
      <w:spacing w:line="468" w:lineRule="atLeast"/>
    </w:pPr>
    <w:rPr>
      <w:color w:val="auto"/>
    </w:rPr>
  </w:style>
  <w:style w:type="character" w:customStyle="1" w:styleId="16">
    <w:name w:val="页眉 字符"/>
    <w:link w:val="5"/>
    <w:qFormat/>
    <w:uiPriority w:val="0"/>
    <w:rPr>
      <w:rFonts w:eastAsia="宋体"/>
      <w:kern w:val="2"/>
      <w:sz w:val="18"/>
      <w:szCs w:val="18"/>
      <w:lang w:val="en-US" w:eastAsia="zh-CN" w:bidi="ar-SA"/>
    </w:rPr>
  </w:style>
  <w:style w:type="paragraph" w:customStyle="1" w:styleId="17">
    <w:name w:val="列表段落1"/>
    <w:basedOn w:val="1"/>
    <w:qFormat/>
    <w:uiPriority w:val="34"/>
    <w:pPr>
      <w:ind w:firstLine="420" w:firstLineChars="200"/>
    </w:pPr>
  </w:style>
  <w:style w:type="character" w:customStyle="1" w:styleId="18">
    <w:name w:val="批注文字 字符"/>
    <w:link w:val="2"/>
    <w:qFormat/>
    <w:uiPriority w:val="0"/>
    <w:rPr>
      <w:kern w:val="2"/>
      <w:sz w:val="21"/>
      <w:szCs w:val="24"/>
    </w:rPr>
  </w:style>
  <w:style w:type="character" w:customStyle="1" w:styleId="19">
    <w:name w:val="批注主题 字符"/>
    <w:link w:val="6"/>
    <w:qFormat/>
    <w:uiPriority w:val="0"/>
    <w:rPr>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2087</Words>
  <Characters>2098</Characters>
  <Lines>15</Lines>
  <Paragraphs>4</Paragraphs>
  <TotalTime>7</TotalTime>
  <ScaleCrop>false</ScaleCrop>
  <LinksUpToDate>false</LinksUpToDate>
  <CharactersWithSpaces>2103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2023-08-28T05:17:00Z</dcterms:created>
  <dc:creator>Llinks</dc:creator>
  <cp:lastModifiedBy>lln</cp:lastModifiedBy>
  <cp:lastPrinted>2016-12-05T08:33:00Z</cp:lastPrinted>
  <dcterms:modified xsi:type="dcterms:W3CDTF">2025-08-20T00:14:29Z</dcterms:modified>
  <dc:title>议案十四</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eyJoZGlkIjoiOTY5MGY0N2RkMmFlNDMzZDk2OWQ4NzBkNDJjZTc3NjciLCJ1c2VySWQiOiI3Mjk5Njk2NTYifQ==</vt:lpwstr>
  </property>
  <property fmtid="{D5CDD505-2E9C-101B-9397-08002B2CF9AE}" pid="3" name="KSOProductBuildVer">
    <vt:lpwstr>2052-12.1.0.21915</vt:lpwstr>
  </property>
  <property fmtid="{D5CDD505-2E9C-101B-9397-08002B2CF9AE}" pid="4" name="ICV">
    <vt:lpwstr>AF72D1AADE4348B1ABB23015E8ABCDA5_12</vt:lpwstr>
  </property>
</Properties>
</file>