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50B17">
      <w:pPr>
        <w:spacing w:line="460" w:lineRule="exact"/>
        <w:jc w:val="center"/>
        <w:rPr>
          <w:rFonts w:ascii="宋体" w:hAnsi="宋体"/>
          <w:b/>
          <w:bCs/>
          <w:sz w:val="32"/>
          <w:lang w:eastAsia="zh-CN"/>
        </w:rPr>
      </w:pPr>
    </w:p>
    <w:p w14:paraId="33CBCC64">
      <w:pPr>
        <w:spacing w:line="360" w:lineRule="auto"/>
        <w:jc w:val="center"/>
        <w:rPr>
          <w:rFonts w:ascii="宋体" w:hAnsi="宋体"/>
          <w:b/>
          <w:bCs/>
          <w:sz w:val="32"/>
          <w:lang w:eastAsia="zh-CN"/>
        </w:rPr>
      </w:pPr>
      <w:r>
        <w:rPr>
          <w:rFonts w:hint="eastAsia" w:ascii="宋体" w:hAnsi="宋体"/>
          <w:b/>
          <w:bCs/>
          <w:sz w:val="32"/>
          <w:lang w:eastAsia="zh-CN"/>
        </w:rPr>
        <w:t>永兴特种材料科技股份有限公司</w:t>
      </w:r>
    </w:p>
    <w:p w14:paraId="5FED655C">
      <w:pPr>
        <w:spacing w:line="360" w:lineRule="auto"/>
        <w:jc w:val="center"/>
        <w:rPr>
          <w:rFonts w:ascii="宋体" w:hAnsi="宋体"/>
          <w:b/>
          <w:bCs/>
          <w:sz w:val="32"/>
          <w:lang w:eastAsia="zh-CN"/>
        </w:rPr>
      </w:pPr>
      <w:r>
        <w:rPr>
          <w:rFonts w:hint="eastAsia" w:ascii="宋体" w:hAnsi="宋体"/>
          <w:b/>
          <w:bCs/>
          <w:sz w:val="32"/>
          <w:lang w:eastAsia="zh-CN"/>
        </w:rPr>
        <w:t>重大信息内部报告制度</w:t>
      </w:r>
    </w:p>
    <w:p w14:paraId="0AFB0EE0">
      <w:pPr>
        <w:spacing w:line="460" w:lineRule="exact"/>
        <w:rPr>
          <w:rFonts w:ascii="宋体" w:hAnsi="宋体"/>
          <w:sz w:val="24"/>
          <w:lang w:eastAsia="zh-CN"/>
        </w:rPr>
      </w:pPr>
    </w:p>
    <w:p w14:paraId="400821F8">
      <w:pPr>
        <w:numPr>
          <w:ilvl w:val="0"/>
          <w:numId w:val="1"/>
        </w:numPr>
        <w:spacing w:line="460" w:lineRule="exact"/>
        <w:jc w:val="center"/>
        <w:rPr>
          <w:rFonts w:ascii="宋体" w:hAnsi="宋体"/>
          <w:b/>
          <w:sz w:val="24"/>
        </w:rPr>
      </w:pPr>
      <w:r>
        <w:rPr>
          <w:rFonts w:hint="eastAsia" w:ascii="宋体" w:hAnsi="宋体"/>
          <w:b/>
          <w:sz w:val="24"/>
        </w:rPr>
        <w:t>总则</w:t>
      </w:r>
    </w:p>
    <w:p w14:paraId="782EAA35">
      <w:pPr>
        <w:spacing w:line="460" w:lineRule="exact"/>
        <w:jc w:val="center"/>
        <w:rPr>
          <w:rFonts w:ascii="宋体" w:hAnsi="宋体"/>
          <w:b/>
          <w:sz w:val="24"/>
        </w:rPr>
      </w:pPr>
    </w:p>
    <w:p w14:paraId="12E45BFA">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为加强永兴特种材料科技股份有限公司（以下简称公司）重大信息内部报告工作，明确公司内部各部门和各子公司、分支机构的信息收集和管理办法，确保公司及时、真实、准确、完整地披露所有对公司股票及其衍生品种交易价格可能产生较大影响的信息，根据《深圳证券交易所股票上市规则》（以下简称《上市规则》）、《永兴特种材料科技股份有限公司章程》（以下简称《公司章程》）、《永兴特种材料科技股份有限公司信息披露事务管理制度》（以下简称《信息披露事务管理制度》）及其他有关法律、法规和规范性文件的规定，结合公司实际情况，制订本制度。本制度适用于公司董事、高级管理人员及总部各部门、下属子公司（指公司直接或间接控股比例超过50%的子公司或对其具有实际控制权的子公司）。</w:t>
      </w:r>
    </w:p>
    <w:p w14:paraId="79689F75">
      <w:pPr>
        <w:spacing w:line="460" w:lineRule="exact"/>
        <w:rPr>
          <w:rFonts w:ascii="宋体" w:hAnsi="宋体"/>
          <w:sz w:val="24"/>
          <w:lang w:eastAsia="zh-CN"/>
        </w:rPr>
      </w:pPr>
      <w:r>
        <w:rPr>
          <w:rFonts w:hint="eastAsia" w:ascii="宋体" w:hAnsi="宋体"/>
          <w:sz w:val="24"/>
          <w:lang w:eastAsia="zh-CN"/>
        </w:rPr>
        <w:t xml:space="preserve">    </w:t>
      </w:r>
    </w:p>
    <w:p w14:paraId="2B43AC4E">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ascii="宋体" w:hAnsi="宋体" w:cs="Arial"/>
          <w:sz w:val="24"/>
          <w:lang w:eastAsia="zh-CN"/>
        </w:rPr>
        <w:t>公司重大信息内部报告制度是指当出现、发生或即将发生可能对公司股票及其</w:t>
      </w:r>
      <w:r>
        <w:rPr>
          <w:rFonts w:hint="eastAsia" w:ascii="宋体" w:hAnsi="宋体" w:cs="Arial"/>
          <w:sz w:val="24"/>
          <w:lang w:eastAsia="zh-CN"/>
        </w:rPr>
        <w:t>衍生</w:t>
      </w:r>
      <w:r>
        <w:rPr>
          <w:rFonts w:ascii="宋体" w:hAnsi="宋体" w:cs="Arial"/>
          <w:sz w:val="24"/>
          <w:lang w:eastAsia="zh-CN"/>
        </w:rPr>
        <w:t>品种的交易价格产生较大影响的情形或事件时，按照本制度规定负有报告义务的有关人员和公司，应及时将有关信息向公司董事长</w:t>
      </w:r>
      <w:r>
        <w:rPr>
          <w:rFonts w:hint="eastAsia" w:ascii="宋体" w:hAnsi="宋体" w:cs="Arial"/>
          <w:sz w:val="24"/>
          <w:lang w:eastAsia="zh-CN"/>
        </w:rPr>
        <w:t>、经理层和</w:t>
      </w:r>
      <w:r>
        <w:rPr>
          <w:rFonts w:ascii="宋体" w:hAnsi="宋体" w:cs="Arial"/>
          <w:sz w:val="24"/>
          <w:lang w:eastAsia="zh-CN"/>
        </w:rPr>
        <w:t>董事会秘书报告的制度。</w:t>
      </w:r>
    </w:p>
    <w:p w14:paraId="600442CF">
      <w:pPr>
        <w:spacing w:line="460" w:lineRule="exact"/>
        <w:ind w:firstLine="480" w:firstLineChars="200"/>
        <w:rPr>
          <w:rFonts w:ascii="宋体" w:hAnsi="宋体"/>
          <w:sz w:val="24"/>
          <w:lang w:eastAsia="zh-CN"/>
        </w:rPr>
      </w:pPr>
    </w:p>
    <w:p w14:paraId="4C6EF080">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公司董事会办公室是公司信息披露的管理部门，公司各部门、分公司、下属子公司的负责人和/或联络人为信息报告人（以下简称为报告人）。报告人负有向董事会报告本制度规定的重大信息并提交相关文件资料的义务。</w:t>
      </w:r>
    </w:p>
    <w:p w14:paraId="3097D92D">
      <w:pPr>
        <w:spacing w:line="460" w:lineRule="exact"/>
        <w:rPr>
          <w:rFonts w:ascii="宋体" w:hAnsi="宋体"/>
          <w:sz w:val="24"/>
          <w:lang w:eastAsia="zh-CN"/>
        </w:rPr>
      </w:pPr>
      <w:r>
        <w:rPr>
          <w:rFonts w:hint="eastAsia" w:ascii="宋体" w:hAnsi="宋体"/>
          <w:sz w:val="24"/>
          <w:lang w:eastAsia="zh-CN"/>
        </w:rPr>
        <w:t xml:space="preserve">    </w:t>
      </w:r>
    </w:p>
    <w:p w14:paraId="1C30546D">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报告人应在本制度规定的第一时间内向董事会办公室履行信息报告义务，并保证提供的相关文件资料真实、准确、完整，不带有重大隐瞒、虚假陈述或引起重大误解之处。</w:t>
      </w:r>
    </w:p>
    <w:p w14:paraId="38D6C273">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报告人对所报告信息的后果承担责任。</w:t>
      </w:r>
    </w:p>
    <w:p w14:paraId="69DECA3C">
      <w:pPr>
        <w:tabs>
          <w:tab w:val="left" w:pos="1260"/>
        </w:tabs>
        <w:spacing w:line="360" w:lineRule="auto"/>
        <w:ind w:left="1274"/>
        <w:rPr>
          <w:rFonts w:hint="eastAsia" w:ascii="宋体" w:hAnsi="宋体" w:cs="Arial"/>
          <w:sz w:val="24"/>
          <w:lang w:eastAsia="zh-CN"/>
        </w:rPr>
      </w:pPr>
    </w:p>
    <w:p w14:paraId="62D9D2D7">
      <w:pPr>
        <w:numPr>
          <w:ilvl w:val="0"/>
          <w:numId w:val="1"/>
        </w:numPr>
        <w:spacing w:line="460" w:lineRule="exact"/>
        <w:jc w:val="center"/>
        <w:rPr>
          <w:rFonts w:ascii="宋体" w:hAnsi="宋体"/>
          <w:b/>
          <w:sz w:val="24"/>
        </w:rPr>
      </w:pPr>
      <w:r>
        <w:rPr>
          <w:rFonts w:hint="eastAsia" w:ascii="宋体" w:hAnsi="宋体"/>
          <w:b/>
          <w:sz w:val="24"/>
        </w:rPr>
        <w:t>重大信息的范围</w:t>
      </w:r>
    </w:p>
    <w:p w14:paraId="28B7E252">
      <w:pPr>
        <w:spacing w:line="460" w:lineRule="exact"/>
        <w:jc w:val="center"/>
        <w:rPr>
          <w:rFonts w:ascii="宋体" w:hAnsi="宋体"/>
          <w:b/>
          <w:sz w:val="24"/>
        </w:rPr>
      </w:pPr>
    </w:p>
    <w:p w14:paraId="409F81FD">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应报告信息按照有关法律、法规、规范性文件的规定属于免于披露的范围，报告人可以免于履行本制度规定的报告义务。</w:t>
      </w:r>
    </w:p>
    <w:p w14:paraId="257E1791">
      <w:pPr>
        <w:spacing w:line="460" w:lineRule="exact"/>
        <w:ind w:firstLine="480"/>
        <w:rPr>
          <w:rFonts w:ascii="宋体" w:hAnsi="宋体"/>
          <w:sz w:val="24"/>
          <w:lang w:eastAsia="zh-CN"/>
        </w:rPr>
      </w:pPr>
    </w:p>
    <w:p w14:paraId="688552AF">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ascii="宋体" w:hAnsi="宋体" w:cs="Arial"/>
          <w:sz w:val="24"/>
          <w:lang w:eastAsia="zh-CN"/>
        </w:rPr>
        <w:t>公司下属</w:t>
      </w:r>
      <w:r>
        <w:rPr>
          <w:rFonts w:hint="eastAsia" w:ascii="宋体" w:hAnsi="宋体" w:cs="Arial"/>
          <w:sz w:val="24"/>
          <w:lang w:eastAsia="zh-CN"/>
        </w:rPr>
        <w:t>各部门、分公司、下属子公司</w:t>
      </w:r>
      <w:r>
        <w:rPr>
          <w:rFonts w:ascii="宋体" w:hAnsi="宋体" w:cs="Arial"/>
          <w:sz w:val="24"/>
          <w:lang w:eastAsia="zh-CN"/>
        </w:rPr>
        <w:t>出现、发生或即将发生以下情形时，相关负有报告义务的人员应将有关信息向公司董事长和董事会秘书予以报告。</w:t>
      </w:r>
    </w:p>
    <w:p w14:paraId="68BD7A40">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1、拟提交公司董事会、股东会审议的事项；</w:t>
      </w:r>
      <w:r>
        <w:rPr>
          <w:rFonts w:hint="eastAsia" w:ascii="宋体" w:hAnsi="宋体" w:cs="Arial"/>
          <w:sz w:val="24"/>
          <w:lang w:eastAsia="zh-CN"/>
        </w:rPr>
        <w:br w:type="textWrapping"/>
      </w:r>
      <w:r>
        <w:rPr>
          <w:rFonts w:hint="eastAsia" w:ascii="宋体" w:hAnsi="宋体" w:cs="Arial"/>
          <w:sz w:val="24"/>
          <w:lang w:eastAsia="zh-CN"/>
        </w:rPr>
        <w:t>2、拟提交各子公司董事会、股东会审议的事项；</w:t>
      </w:r>
      <w:r>
        <w:rPr>
          <w:rFonts w:hint="eastAsia" w:ascii="宋体" w:hAnsi="宋体" w:cs="Arial"/>
          <w:sz w:val="24"/>
          <w:lang w:eastAsia="zh-CN"/>
        </w:rPr>
        <w:br w:type="textWrapping"/>
      </w:r>
      <w:r>
        <w:rPr>
          <w:rFonts w:ascii="宋体" w:hAnsi="宋体" w:cs="Arial"/>
          <w:sz w:val="24"/>
          <w:lang w:eastAsia="zh-CN"/>
        </w:rPr>
        <w:t>3</w:t>
      </w:r>
      <w:r>
        <w:rPr>
          <w:rFonts w:hint="eastAsia" w:ascii="宋体" w:hAnsi="宋体" w:cs="Arial"/>
          <w:sz w:val="24"/>
          <w:lang w:eastAsia="zh-CN"/>
        </w:rPr>
        <w:t>、公司独立董事的声明、意见及报告；</w:t>
      </w:r>
      <w:r>
        <w:rPr>
          <w:rFonts w:hint="eastAsia" w:ascii="宋体" w:hAnsi="宋体" w:cs="Arial"/>
          <w:sz w:val="24"/>
          <w:lang w:eastAsia="zh-CN"/>
        </w:rPr>
        <w:br w:type="textWrapping"/>
      </w:r>
      <w:r>
        <w:rPr>
          <w:rFonts w:ascii="宋体" w:hAnsi="宋体" w:cs="Arial"/>
          <w:sz w:val="24"/>
          <w:lang w:eastAsia="zh-CN"/>
        </w:rPr>
        <w:t>4</w:t>
      </w:r>
      <w:r>
        <w:rPr>
          <w:rFonts w:hint="eastAsia" w:ascii="宋体" w:hAnsi="宋体" w:cs="Arial"/>
          <w:sz w:val="24"/>
          <w:lang w:eastAsia="zh-CN"/>
        </w:rPr>
        <w:t>、公司各部门或各子公司发生或拟发生以下重大交易事项，包括：购买或者出售资产（不含购买原材料、燃料和动力,</w:t>
      </w:r>
      <w:r>
        <w:rPr>
          <w:rFonts w:ascii="宋体" w:hAnsi="宋体" w:cs="Arial"/>
          <w:sz w:val="24"/>
          <w:lang w:eastAsia="zh-CN"/>
        </w:rPr>
        <w:t xml:space="preserve"> </w:t>
      </w:r>
      <w:r>
        <w:rPr>
          <w:rFonts w:hint="eastAsia" w:ascii="宋体" w:hAnsi="宋体" w:cs="Arial"/>
          <w:sz w:val="24"/>
          <w:lang w:eastAsia="zh-CN"/>
        </w:rPr>
        <w:t>以及出售产品、商品等与日常经营相关的资产,</w:t>
      </w:r>
      <w:r>
        <w:rPr>
          <w:rFonts w:ascii="宋体" w:hAnsi="宋体" w:cs="Arial"/>
          <w:sz w:val="24"/>
          <w:lang w:eastAsia="zh-CN"/>
        </w:rPr>
        <w:t xml:space="preserve"> </w:t>
      </w:r>
      <w:r>
        <w:rPr>
          <w:rFonts w:hint="eastAsia" w:ascii="宋体" w:hAnsi="宋体" w:cs="Arial"/>
          <w:sz w:val="24"/>
          <w:lang w:eastAsia="zh-CN"/>
        </w:rPr>
        <w:t>但资产置换中涉及购买、出售此类资产的，仍包含在内）、对外投资（含委托理财、对子公司投资等）、提供财务资助（含委托贷款等）、提供担保（含对控股子公司担保等）、租入或者租出资产、委托或者受托管理资产和业务、赠与或者受赠资产、债权或者债务重组、签订许可协议、转让或者受让研发项目、放弃权利（含放弃优先购买权、优先认缴出资权利）；其它的重要交易。</w:t>
      </w:r>
    </w:p>
    <w:p w14:paraId="615C9959">
      <w:pPr>
        <w:tabs>
          <w:tab w:val="left" w:pos="1260"/>
        </w:tabs>
        <w:spacing w:line="360" w:lineRule="auto"/>
        <w:ind w:left="1274"/>
        <w:rPr>
          <w:rFonts w:ascii="宋体" w:hAnsi="宋体" w:cs="Arial"/>
          <w:sz w:val="24"/>
          <w:lang w:eastAsia="zh-CN"/>
        </w:rPr>
      </w:pPr>
      <w:r>
        <w:rPr>
          <w:rFonts w:ascii="宋体" w:hAnsi="宋体" w:cs="Arial"/>
          <w:sz w:val="24"/>
          <w:lang w:eastAsia="zh-CN"/>
        </w:rPr>
        <w:t>5</w:t>
      </w:r>
      <w:r>
        <w:rPr>
          <w:rFonts w:hint="eastAsia" w:ascii="宋体" w:hAnsi="宋体" w:cs="Arial"/>
          <w:sz w:val="24"/>
          <w:lang w:eastAsia="zh-CN"/>
        </w:rPr>
        <w:t>、</w:t>
      </w:r>
      <w:r>
        <w:rPr>
          <w:rFonts w:ascii="宋体" w:hAnsi="宋体" w:cs="Arial"/>
          <w:sz w:val="24"/>
          <w:lang w:eastAsia="zh-CN"/>
        </w:rPr>
        <w:t>与公司关联人之间发生的转移资源或者义务的事项，包括</w:t>
      </w:r>
      <w:r>
        <w:rPr>
          <w:rFonts w:hint="eastAsia" w:ascii="宋体" w:hAnsi="宋体" w:cs="Arial"/>
          <w:sz w:val="24"/>
          <w:lang w:eastAsia="zh-CN"/>
        </w:rPr>
        <w:t>：前款所述交易事项；</w:t>
      </w:r>
      <w:r>
        <w:rPr>
          <w:rFonts w:ascii="宋体" w:hAnsi="宋体" w:cs="Arial"/>
          <w:sz w:val="24"/>
          <w:lang w:eastAsia="zh-CN"/>
        </w:rPr>
        <w:t>购买原材料、燃料、动力；</w:t>
      </w:r>
      <w:r>
        <w:rPr>
          <w:rFonts w:hint="eastAsia" w:ascii="宋体" w:hAnsi="宋体" w:cs="Arial"/>
          <w:sz w:val="24"/>
          <w:lang w:eastAsia="zh-CN"/>
        </w:rPr>
        <w:t>销售</w:t>
      </w:r>
      <w:r>
        <w:rPr>
          <w:rFonts w:ascii="宋体" w:hAnsi="宋体" w:cs="Arial"/>
          <w:sz w:val="24"/>
          <w:lang w:eastAsia="zh-CN"/>
        </w:rPr>
        <w:t>产品、商品；提供或者接受劳务；委托或者受托销售；</w:t>
      </w:r>
      <w:r>
        <w:rPr>
          <w:rFonts w:hint="eastAsia" w:ascii="宋体" w:hAnsi="宋体" w:cs="Arial"/>
          <w:sz w:val="24"/>
          <w:lang w:eastAsia="zh-CN"/>
        </w:rPr>
        <w:t>存贷款业务；关联双方</w:t>
      </w:r>
      <w:r>
        <w:rPr>
          <w:rFonts w:ascii="宋体" w:hAnsi="宋体" w:cs="Arial"/>
          <w:sz w:val="24"/>
          <w:lang w:eastAsia="zh-CN"/>
        </w:rPr>
        <w:t>共同投资；其他通过约定可能引致资源或者义务转移的事项等。</w:t>
      </w:r>
    </w:p>
    <w:p w14:paraId="0F7A9CEE">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6、重大诉讼、仲裁事项；</w:t>
      </w:r>
    </w:p>
    <w:p w14:paraId="6455EE53">
      <w:pPr>
        <w:tabs>
          <w:tab w:val="left" w:pos="1260"/>
        </w:tabs>
        <w:spacing w:line="360" w:lineRule="auto"/>
        <w:ind w:left="1274"/>
        <w:rPr>
          <w:rFonts w:ascii="宋体" w:hAnsi="宋体" w:cs="Arial"/>
          <w:sz w:val="24"/>
          <w:lang w:eastAsia="zh-CN"/>
        </w:rPr>
      </w:pPr>
      <w:r>
        <w:rPr>
          <w:rFonts w:ascii="宋体" w:hAnsi="宋体" w:cs="Arial"/>
          <w:sz w:val="24"/>
          <w:lang w:eastAsia="zh-CN"/>
        </w:rPr>
        <w:t>7</w:t>
      </w:r>
      <w:r>
        <w:rPr>
          <w:rFonts w:hint="eastAsia" w:ascii="宋体" w:hAnsi="宋体" w:cs="Arial"/>
          <w:sz w:val="24"/>
          <w:lang w:eastAsia="zh-CN"/>
        </w:rPr>
        <w:t>、拟变更募集资金投资项目及基建技改项目的立项、变更等；</w:t>
      </w:r>
    </w:p>
    <w:p w14:paraId="2A0240F4">
      <w:pPr>
        <w:tabs>
          <w:tab w:val="left" w:pos="1260"/>
        </w:tabs>
        <w:spacing w:line="360" w:lineRule="auto"/>
        <w:ind w:left="1274"/>
        <w:rPr>
          <w:rFonts w:ascii="宋体" w:hAnsi="宋体" w:cs="Arial"/>
          <w:sz w:val="24"/>
          <w:lang w:eastAsia="zh-CN"/>
        </w:rPr>
      </w:pPr>
      <w:r>
        <w:rPr>
          <w:rFonts w:ascii="宋体" w:hAnsi="宋体" w:cs="Arial"/>
          <w:sz w:val="24"/>
          <w:lang w:eastAsia="zh-CN"/>
        </w:rPr>
        <w:t>8</w:t>
      </w:r>
      <w:r>
        <w:rPr>
          <w:rFonts w:hint="eastAsia" w:ascii="宋体" w:hAnsi="宋体" w:cs="Arial"/>
          <w:sz w:val="24"/>
          <w:lang w:eastAsia="zh-CN"/>
        </w:rPr>
        <w:t>、业绩预告和业绩预告的修正；</w:t>
      </w:r>
      <w:r>
        <w:rPr>
          <w:rFonts w:hint="eastAsia" w:ascii="宋体" w:hAnsi="宋体" w:cs="Arial"/>
          <w:sz w:val="24"/>
          <w:lang w:eastAsia="zh-CN"/>
        </w:rPr>
        <w:br w:type="textWrapping"/>
      </w:r>
      <w:r>
        <w:rPr>
          <w:rFonts w:hint="eastAsia" w:ascii="宋体" w:hAnsi="宋体" w:cs="Arial"/>
          <w:sz w:val="24"/>
          <w:lang w:eastAsia="zh-CN"/>
        </w:rPr>
        <w:t>9．利润分配和资本公积金转增股本事项；</w:t>
      </w:r>
    </w:p>
    <w:p w14:paraId="737B36CF">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10、公司股票交易发生异常波动和传闻事项；</w:t>
      </w:r>
    </w:p>
    <w:p w14:paraId="45A25475">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11、公司回购股份的相关事项；</w:t>
      </w:r>
    </w:p>
    <w:p w14:paraId="2DA82DE9">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12、公司发行可转换公司债券；</w:t>
      </w:r>
    </w:p>
    <w:p w14:paraId="186B9425">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13、公司及公司股东发生承诺事项；</w:t>
      </w:r>
    </w:p>
    <w:p w14:paraId="444A025B">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14、公司出现下列使公司面临重大风险情形的：发生重大亏损或者遭受重大损失；重大债务、未清偿到期重大债务或重大债权到期未获清偿；可能依法承担的重大违约责任或大额赔偿责任；计提大额资产减值准备；公司决定解散或者被有权机关依法责令关闭；重大债权到期未获清偿，或者主要债务人出现资不抵债或者进入破产程序；公司营业用主要资产被查封、扣押、冻结、抵押、质押或者报废超过总资产的30%；主要或全部业务陷入停顿；公司涉嫌犯罪被依法立案调查，公司的控股股东、实际控制人、董事、高级管理人员涉嫌犯罪被依法采取强制措施；公司或者其控股股东、实际控制人、董事、高级管理人员受到刑事处罚，涉嫌违法违规被中国证监会立案调查或者受到中国证监会行政处罚，或者受到其他有权机关重大行政处罚；公司的控股股东、实际控制人、董事、高级管理人员涉嫌严重违纪违法或者职务犯罪被纪检监察机关采取留置措施且影响其履行职责；公司董事长或者总经理无法履行职责，除董事长、总经理外的其他公司董事、高级管理人员因身体、工作安排等原因无法正常履行职责达到或者预计达到三个月以上，或者因涉嫌违法违规被有权机关采取强制措施且影响其履行职责；</w:t>
      </w:r>
    </w:p>
    <w:p w14:paraId="51F23568">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15、公司出现下列情形之一的：变更公司名称、公司章程、股票简称、注册资本、注册地址、办公地址和联系电话等；经营方针和经营范围发生重大变化；依据中国证监会关于行业分类的有关规定，公司行业分类发生变更；董事会审议通过发行新股、可转换公司债券、优先股、公司债券等境内外融资方案；公司发行新股或者其他境内外发行融资申请、重大资产重组事项收到相应的审核意见；生产经营情况、外部条件或者生产环境发生重大变化（包括行业政策、产品价格、原材料采购、销售方式等发生重大变化）；订立重要合同，可能对公司的资产、负债、权益和经营成果产生重大影响；公司实际控制人或者持有公司5%以上股份的股东持股情况或者控制公司的情况发生或者拟发生较大变化；法院裁决禁止公司控股股东转让其所持公司股份；公司的董事、总经理或者财务负责人发生变动；任一股东所持公司5%以上股份被质押、冻结、司法标记、司法拍卖、托管、设定信托或者限制表决权等，或者出现被强制过户风险；获得额外收益，可能对公司的资产、负债、权益或者经营成果产生重大影响</w:t>
      </w:r>
    </w:p>
    <w:p w14:paraId="6B53AC72">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16、以上事项未曾列出，但负有报告义务的人员判定可能会对公司股票或其衍生品种的交易价格产生较大影响的情形或事件，或证监会、深交所或者公司认定的其他情形。</w:t>
      </w:r>
    </w:p>
    <w:p w14:paraId="6A1B2234">
      <w:pPr>
        <w:spacing w:line="460" w:lineRule="exact"/>
        <w:rPr>
          <w:rFonts w:ascii="宋体" w:hAnsi="宋体" w:cs="Arial"/>
          <w:sz w:val="24"/>
          <w:lang w:eastAsia="zh-CN"/>
        </w:rPr>
      </w:pPr>
    </w:p>
    <w:p w14:paraId="4DABF9B3">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ascii="宋体" w:hAnsi="宋体" w:cs="Arial"/>
          <w:sz w:val="24"/>
          <w:lang w:eastAsia="zh-CN"/>
        </w:rPr>
        <w:t>按照本制度规定负有报告义务的有关人员和公司，应以书面形式向公司董事长</w:t>
      </w:r>
      <w:r>
        <w:rPr>
          <w:rFonts w:hint="eastAsia" w:ascii="宋体" w:hAnsi="宋体" w:cs="Arial"/>
          <w:sz w:val="24"/>
          <w:lang w:eastAsia="zh-CN"/>
        </w:rPr>
        <w:t>、经理层</w:t>
      </w:r>
      <w:r>
        <w:rPr>
          <w:rFonts w:ascii="宋体" w:hAnsi="宋体" w:cs="Arial"/>
          <w:sz w:val="24"/>
          <w:lang w:eastAsia="zh-CN"/>
        </w:rPr>
        <w:t>和董事会秘书提供重大信息，包括但不限于与该信息相关的协议或合同、政府批文、法律、法规、法院判定及情况介绍等。</w:t>
      </w:r>
      <w:r>
        <w:rPr>
          <w:rFonts w:hint="eastAsia" w:ascii="宋体" w:hAnsi="宋体" w:cs="Arial"/>
          <w:sz w:val="24"/>
          <w:lang w:eastAsia="zh-CN"/>
        </w:rPr>
        <w:t>报告人应报告的上述信息的具体内容及其他要求按照《上市规则》、《信息披露事务管理制度》等有关法律、法规和/或规范性文件的规定执行。</w:t>
      </w:r>
    </w:p>
    <w:p w14:paraId="46C4D9C6">
      <w:pPr>
        <w:spacing w:line="460" w:lineRule="exact"/>
        <w:ind w:firstLine="480"/>
        <w:rPr>
          <w:rFonts w:ascii="宋体" w:hAnsi="宋体"/>
          <w:sz w:val="24"/>
          <w:lang w:eastAsia="zh-CN"/>
        </w:rPr>
      </w:pPr>
    </w:p>
    <w:p w14:paraId="18B1063F">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报告人应加强对与信息披露有关的法律、法规和/或规范性文件的学习与理解，及时了解和掌握监管部门对信息披露的最新政策要求，以使所报告的信息符合规定。</w:t>
      </w:r>
    </w:p>
    <w:p w14:paraId="0C58F1E8">
      <w:pPr>
        <w:spacing w:line="460" w:lineRule="exact"/>
        <w:rPr>
          <w:rFonts w:ascii="宋体" w:hAnsi="宋体"/>
          <w:sz w:val="24"/>
          <w:lang w:eastAsia="zh-CN"/>
        </w:rPr>
      </w:pPr>
    </w:p>
    <w:p w14:paraId="76AA2A0F">
      <w:pPr>
        <w:numPr>
          <w:ilvl w:val="0"/>
          <w:numId w:val="3"/>
        </w:numPr>
        <w:spacing w:line="460" w:lineRule="exact"/>
        <w:jc w:val="center"/>
        <w:rPr>
          <w:rFonts w:ascii="宋体" w:hAnsi="宋体"/>
          <w:b/>
          <w:sz w:val="24"/>
        </w:rPr>
      </w:pPr>
      <w:r>
        <w:rPr>
          <w:rFonts w:hint="eastAsia" w:ascii="宋体" w:hAnsi="宋体"/>
          <w:b/>
          <w:sz w:val="24"/>
        </w:rPr>
        <w:t>信息报告的责任划分</w:t>
      </w:r>
    </w:p>
    <w:p w14:paraId="1CD4C85B">
      <w:pPr>
        <w:spacing w:line="460" w:lineRule="exact"/>
        <w:jc w:val="center"/>
        <w:rPr>
          <w:rFonts w:ascii="宋体" w:hAnsi="宋体"/>
          <w:b/>
          <w:sz w:val="24"/>
        </w:rPr>
      </w:pPr>
    </w:p>
    <w:p w14:paraId="05EC6F7F">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公司董事会办公室负责公司向社会公众的信息披露，董事会秘书和证券事务代表为对外信息披露的责任人；公司各部门、分公司及下属子公司为公司内部的信息披露部门，负责向董事会办公室报告本制度规定的信息。</w:t>
      </w:r>
    </w:p>
    <w:p w14:paraId="25F43827">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未经通知公司董事会办公室并履行法定批准程序，公司的任何部门、分公司及子公司均不得以公司名义对外披露信息或对已披露的信息做任何解释和/或说明。</w:t>
      </w:r>
    </w:p>
    <w:p w14:paraId="1801B825">
      <w:pPr>
        <w:spacing w:line="460" w:lineRule="exact"/>
        <w:ind w:firstLine="480" w:firstLineChars="200"/>
        <w:rPr>
          <w:rFonts w:ascii="宋体" w:hAnsi="宋体"/>
          <w:sz w:val="24"/>
          <w:lang w:eastAsia="zh-CN"/>
        </w:rPr>
      </w:pPr>
    </w:p>
    <w:p w14:paraId="539EC11C">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公司各部门、分公司、下属子公司的负责人为履行信息报告义务的第一责任人，各部门、分公司、下属子公司的财务负责人为履行信息报告义务的联络人，未设置财务机构的部门，应指定专人为联络人。</w:t>
      </w:r>
    </w:p>
    <w:p w14:paraId="373C0AB5">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若公司的管理人员在子公司任职总经理，则该总经理为子公司履行信息报告义务的责任人和联络人；若公司未有管理人员担任子公司总经理，则由公司指定一人作为子公司履行信息报告义务的责任人和联络人。</w:t>
      </w:r>
    </w:p>
    <w:p w14:paraId="32BFF28E">
      <w:pPr>
        <w:spacing w:line="460" w:lineRule="exact"/>
        <w:rPr>
          <w:rFonts w:ascii="宋体" w:hAnsi="宋体"/>
          <w:sz w:val="24"/>
          <w:lang w:eastAsia="zh-CN"/>
        </w:rPr>
      </w:pPr>
      <w:r>
        <w:rPr>
          <w:rFonts w:hint="eastAsia" w:ascii="宋体" w:hAnsi="宋体"/>
          <w:sz w:val="24"/>
          <w:lang w:eastAsia="zh-CN"/>
        </w:rPr>
        <w:t xml:space="preserve">    </w:t>
      </w:r>
    </w:p>
    <w:p w14:paraId="6CD5E6CE">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报告人负责本部门（分公司、子公司）应报告信息的收集、整理及相关文件的准备、草拟工作，并按照本制度的规定向董事会办公室报告信息并提交相关文件资料。</w:t>
      </w:r>
    </w:p>
    <w:p w14:paraId="0CBBF8A9">
      <w:pPr>
        <w:spacing w:line="460" w:lineRule="exact"/>
        <w:ind w:firstLine="480" w:firstLineChars="200"/>
        <w:rPr>
          <w:rFonts w:ascii="宋体" w:hAnsi="宋体"/>
          <w:sz w:val="24"/>
          <w:lang w:eastAsia="zh-CN"/>
        </w:rPr>
      </w:pPr>
    </w:p>
    <w:p w14:paraId="61D03297">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董事会秘书负责向报告人收集信息、制作信息披露文件、对外公开披露信息及与投资者、监管部门及其他社会各界的沟通与联络。</w:t>
      </w:r>
    </w:p>
    <w:p w14:paraId="1E11734C">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证券事务代表协助董事会秘书履行职责并与董事会秘书承担同等责任。</w:t>
      </w:r>
    </w:p>
    <w:p w14:paraId="504F7A4E">
      <w:pPr>
        <w:spacing w:line="460" w:lineRule="exact"/>
        <w:ind w:firstLine="480"/>
        <w:rPr>
          <w:rFonts w:ascii="宋体" w:hAnsi="宋体"/>
          <w:sz w:val="24"/>
          <w:lang w:eastAsia="zh-CN"/>
        </w:rPr>
      </w:pPr>
    </w:p>
    <w:p w14:paraId="04E575DC">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公司董事长、总经理、副总经理、财务负责人等高级管理人员对报告人负有督促义务，应定期或不定期督促报告人履行信息报告职责。</w:t>
      </w:r>
    </w:p>
    <w:p w14:paraId="0CBA5F69">
      <w:pPr>
        <w:spacing w:line="460" w:lineRule="exact"/>
        <w:ind w:firstLine="480"/>
        <w:rPr>
          <w:rFonts w:ascii="宋体" w:hAnsi="宋体"/>
          <w:sz w:val="24"/>
          <w:lang w:eastAsia="zh-CN"/>
        </w:rPr>
      </w:pPr>
    </w:p>
    <w:p w14:paraId="651F4BA8">
      <w:pPr>
        <w:numPr>
          <w:ilvl w:val="0"/>
          <w:numId w:val="3"/>
        </w:numPr>
        <w:spacing w:line="460" w:lineRule="exact"/>
        <w:jc w:val="center"/>
        <w:rPr>
          <w:rFonts w:ascii="宋体" w:hAnsi="宋体"/>
          <w:b/>
          <w:sz w:val="24"/>
        </w:rPr>
      </w:pPr>
      <w:r>
        <w:rPr>
          <w:rFonts w:hint="eastAsia" w:ascii="宋体" w:hAnsi="宋体"/>
          <w:b/>
          <w:sz w:val="24"/>
        </w:rPr>
        <w:t>信息报告的工作流程</w:t>
      </w:r>
    </w:p>
    <w:p w14:paraId="032812ED">
      <w:pPr>
        <w:spacing w:line="460" w:lineRule="exact"/>
        <w:jc w:val="center"/>
        <w:rPr>
          <w:rFonts w:ascii="宋体" w:hAnsi="宋体"/>
          <w:b/>
          <w:sz w:val="24"/>
        </w:rPr>
      </w:pPr>
    </w:p>
    <w:p w14:paraId="5D138BF1">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报告人应于每年年末的最后一个工作日前向董事会办公室提交本部门（分公司、子公司）下一年度的工作计划（包括生产经营计划、投资计划、融资计划、重大资产的购买或出售计划及其他计划）。</w:t>
      </w:r>
    </w:p>
    <w:p w14:paraId="111FA061">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上述工作计划执行过程中如发生变更或拟发生变更的，报告人应于第一时间通知董事会办公室。</w:t>
      </w:r>
    </w:p>
    <w:p w14:paraId="6D1AD494">
      <w:pPr>
        <w:spacing w:line="460" w:lineRule="exact"/>
        <w:ind w:firstLine="480" w:firstLineChars="200"/>
        <w:rPr>
          <w:rFonts w:ascii="宋体" w:hAnsi="宋体"/>
          <w:sz w:val="24"/>
          <w:lang w:eastAsia="zh-CN"/>
        </w:rPr>
      </w:pPr>
    </w:p>
    <w:p w14:paraId="3BF4735A">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报告人应至迟于每月的5号向董事会办公室提供本部门上个月的经营情况信息（包括生产经营信息、投资信息、融资信息、合同的签订与履行情况、涉及的诉讼、仲裁情况、人事变动信息及董事会办公室要求的其他信息）和本月的工作安排。</w:t>
      </w:r>
    </w:p>
    <w:p w14:paraId="04A92003">
      <w:pPr>
        <w:spacing w:line="460" w:lineRule="exact"/>
        <w:rPr>
          <w:rFonts w:ascii="宋体" w:hAnsi="宋体"/>
          <w:sz w:val="24"/>
          <w:lang w:eastAsia="zh-CN"/>
        </w:rPr>
      </w:pPr>
      <w:r>
        <w:rPr>
          <w:rFonts w:hint="eastAsia" w:ascii="宋体" w:hAnsi="宋体"/>
          <w:sz w:val="24"/>
          <w:lang w:eastAsia="zh-CN"/>
        </w:rPr>
        <w:t xml:space="preserve">    </w:t>
      </w:r>
    </w:p>
    <w:p w14:paraId="748AE061">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 xml:space="preserve">公司及相关信息披露义务人筹划重大事项，持续时间较长的，可以按规定分阶段披露进展情况，提示相关风险。已披露的事项发生变化，可能对公司股票及其衍生品种交易价格产生较大影响的，公司及相关信息披露义务人应当及时披露进展公告。 </w:t>
      </w:r>
    </w:p>
    <w:p w14:paraId="38DD8182">
      <w:pPr>
        <w:pStyle w:val="17"/>
        <w:ind w:firstLine="480"/>
        <w:rPr>
          <w:rFonts w:hint="eastAsia" w:ascii="宋体" w:hAnsi="宋体" w:cs="Arial"/>
          <w:sz w:val="24"/>
          <w:lang w:eastAsia="zh-CN"/>
        </w:rPr>
      </w:pPr>
    </w:p>
    <w:p w14:paraId="16A0C357">
      <w:pPr>
        <w:tabs>
          <w:tab w:val="left" w:pos="1260"/>
        </w:tabs>
        <w:spacing w:line="360" w:lineRule="auto"/>
        <w:ind w:left="1274"/>
        <w:rPr>
          <w:rFonts w:hint="eastAsia" w:ascii="宋体" w:hAnsi="宋体" w:cs="Arial"/>
          <w:sz w:val="24"/>
          <w:lang w:eastAsia="zh-CN"/>
        </w:rPr>
      </w:pPr>
    </w:p>
    <w:p w14:paraId="2E68574B">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公司各部门、分公司的联络人负责收集、整理、准备本部门（分公司）与拟报告信息相关的文件、资料，并经第一责任人（即本部门或分公司的负责人）审阅签字后，由联络人将相关信息及文件、资料通知或送达董事会办公室。</w:t>
      </w:r>
    </w:p>
    <w:p w14:paraId="30664D62">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各部门、分公司的第一责任人应在接到有关文件、资料的当天完成审阅工作并签字，如第一责任人不履行或不能履行该项职责，则联络人可直接将有关情况向董事会办公室报告。</w:t>
      </w:r>
    </w:p>
    <w:p w14:paraId="68C90CC7">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如各部门、分公司的联络人不履行或不能履行本条第一款规定的职责，则第一责任人应亲自履行或指定其他人履行该项职责。</w:t>
      </w:r>
    </w:p>
    <w:p w14:paraId="72B1975D">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公司下属子公司的总经理或经公司指定的报告人负责收集、整理、准备本公司与拟报告信息相关的文件、资料，并将相关信息及文件、资料通知或送达董事会办公室。</w:t>
      </w:r>
    </w:p>
    <w:p w14:paraId="64479BBE">
      <w:pPr>
        <w:spacing w:line="460" w:lineRule="exact"/>
        <w:rPr>
          <w:rFonts w:ascii="宋体" w:hAnsi="宋体"/>
          <w:sz w:val="24"/>
          <w:lang w:eastAsia="zh-CN"/>
        </w:rPr>
      </w:pPr>
      <w:r>
        <w:rPr>
          <w:rFonts w:hint="eastAsia" w:ascii="宋体" w:hAnsi="宋体"/>
          <w:sz w:val="24"/>
          <w:lang w:eastAsia="zh-CN"/>
        </w:rPr>
        <w:t xml:space="preserve">    </w:t>
      </w:r>
    </w:p>
    <w:p w14:paraId="23EDE497">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报告人向董事会办公室履行信息报告的通知义务是指将拟报告的信息在第一时间以电话、传真或邮件等方式通知董事会秘书，并同时通知证券事务代表。</w:t>
      </w:r>
    </w:p>
    <w:p w14:paraId="0F83EED0">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报告人向董事会办公室提供文件资料是指将与所报告信息有关的文件资料送交董事会办公室的工作人员，并由该工作人员签收。</w:t>
      </w:r>
    </w:p>
    <w:p w14:paraId="10DFA753">
      <w:pPr>
        <w:spacing w:line="460" w:lineRule="exact"/>
        <w:rPr>
          <w:rFonts w:ascii="宋体" w:hAnsi="宋体"/>
          <w:sz w:val="24"/>
          <w:lang w:eastAsia="zh-CN"/>
        </w:rPr>
      </w:pPr>
      <w:r>
        <w:rPr>
          <w:rFonts w:hint="eastAsia" w:ascii="宋体" w:hAnsi="宋体"/>
          <w:sz w:val="24"/>
          <w:lang w:eastAsia="zh-CN"/>
        </w:rPr>
        <w:t xml:space="preserve">    </w:t>
      </w:r>
    </w:p>
    <w:p w14:paraId="61FA0957">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董事会秘书或证券事务代表有权随时向报告人了解应报告信息的详细情况，报告人应及时、如实地向董事会秘书或证券事务代表说明情况，回答有关问题。</w:t>
      </w:r>
    </w:p>
    <w:p w14:paraId="3B365AF0">
      <w:pPr>
        <w:spacing w:line="460" w:lineRule="exact"/>
        <w:rPr>
          <w:rFonts w:ascii="宋体" w:hAnsi="宋体"/>
          <w:sz w:val="24"/>
          <w:lang w:eastAsia="zh-CN"/>
        </w:rPr>
      </w:pPr>
      <w:r>
        <w:rPr>
          <w:rFonts w:hint="eastAsia" w:ascii="宋体" w:hAnsi="宋体"/>
          <w:sz w:val="24"/>
          <w:lang w:eastAsia="zh-CN"/>
        </w:rPr>
        <w:t xml:space="preserve">    </w:t>
      </w:r>
    </w:p>
    <w:p w14:paraId="71B6046C">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公司各部门、分公司、子公司的联络人和第一责任人对履行报告信息义务承担连带责任，不得互相</w:t>
      </w:r>
      <w:r>
        <w:rPr>
          <w:rFonts w:hint="eastAsia" w:ascii="宋体" w:hAnsi="宋体" w:cs="Arial"/>
          <w:sz w:val="24"/>
          <w:lang w:val="en-US" w:eastAsia="zh-CN"/>
        </w:rPr>
        <w:t>推诿</w:t>
      </w:r>
      <w:r>
        <w:rPr>
          <w:rFonts w:hint="eastAsia" w:ascii="宋体" w:hAnsi="宋体" w:cs="Arial"/>
          <w:sz w:val="24"/>
          <w:lang w:eastAsia="zh-CN"/>
        </w:rPr>
        <w:t>。</w:t>
      </w:r>
    </w:p>
    <w:p w14:paraId="071A1518">
      <w:pPr>
        <w:spacing w:line="460" w:lineRule="exact"/>
        <w:rPr>
          <w:rFonts w:ascii="宋体" w:hAnsi="宋体"/>
          <w:sz w:val="24"/>
          <w:lang w:eastAsia="zh-CN"/>
        </w:rPr>
      </w:pPr>
      <w:bookmarkStart w:id="0" w:name="_GoBack"/>
      <w:bookmarkEnd w:id="0"/>
    </w:p>
    <w:p w14:paraId="7D78D96C">
      <w:pPr>
        <w:numPr>
          <w:ilvl w:val="0"/>
          <w:numId w:val="3"/>
        </w:numPr>
        <w:spacing w:line="460" w:lineRule="exact"/>
        <w:jc w:val="center"/>
        <w:rPr>
          <w:rFonts w:ascii="宋体" w:hAnsi="宋体"/>
          <w:b/>
          <w:sz w:val="24"/>
        </w:rPr>
      </w:pPr>
      <w:r>
        <w:rPr>
          <w:rFonts w:hint="eastAsia" w:ascii="宋体" w:hAnsi="宋体"/>
          <w:b/>
          <w:sz w:val="24"/>
        </w:rPr>
        <w:t>保密义务及法律责任</w:t>
      </w:r>
    </w:p>
    <w:p w14:paraId="16BE1BC4">
      <w:pPr>
        <w:spacing w:line="460" w:lineRule="exact"/>
        <w:jc w:val="center"/>
        <w:rPr>
          <w:rFonts w:ascii="宋体" w:hAnsi="宋体"/>
          <w:b/>
          <w:sz w:val="24"/>
        </w:rPr>
      </w:pPr>
    </w:p>
    <w:p w14:paraId="03316FC3">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董事会秘书、证券事务代表、报告人及其他因工作关系接触到应报告信息的工作人员在相关信息未公开披露前，负有保密义务。</w:t>
      </w:r>
    </w:p>
    <w:p w14:paraId="5ABB007B">
      <w:pPr>
        <w:spacing w:line="460" w:lineRule="exact"/>
        <w:ind w:firstLine="480" w:firstLineChars="200"/>
        <w:rPr>
          <w:rFonts w:ascii="宋体" w:hAnsi="宋体"/>
          <w:sz w:val="24"/>
          <w:lang w:eastAsia="zh-CN"/>
        </w:rPr>
      </w:pPr>
    </w:p>
    <w:p w14:paraId="5F559BF1">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报告人未按本制度的规定履行信息报告义务导致公司信息披露违规，给公司造成严重影响或损失时，公司应对报告人给予批评、警告、罚款直至解除其职务的处分，并且可以要求其承担损害赔偿责任。</w:t>
      </w:r>
    </w:p>
    <w:p w14:paraId="3C09D304">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前款规定的不履行信息报告义务是指包括但不限于下列情形：</w:t>
      </w:r>
    </w:p>
    <w:p w14:paraId="5BE76E0D">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（一）不向董事会办公室报告信息和/或提供相关文件资料；</w:t>
      </w:r>
    </w:p>
    <w:p w14:paraId="0DC8A928">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（二）未及时向董事会办公室报告信息和/或提供相关文件资料；</w:t>
      </w:r>
    </w:p>
    <w:p w14:paraId="7E63E127">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（三）因故意或过失致使报告的信息或提供的文件资料存在重大隐瞒、虚假陈述或引人重大误解之处；</w:t>
      </w:r>
    </w:p>
    <w:p w14:paraId="5781B1D4">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（四）拒绝答复董事会秘书或证券事务代表对相关问题的问询；</w:t>
      </w:r>
    </w:p>
    <w:p w14:paraId="6CACF627">
      <w:pPr>
        <w:tabs>
          <w:tab w:val="left" w:pos="1260"/>
        </w:tabs>
        <w:spacing w:line="360" w:lineRule="auto"/>
        <w:ind w:left="1274"/>
        <w:rPr>
          <w:rFonts w:ascii="宋体" w:hAnsi="宋体" w:cs="Arial"/>
          <w:sz w:val="24"/>
          <w:lang w:eastAsia="zh-CN"/>
        </w:rPr>
      </w:pPr>
      <w:r>
        <w:rPr>
          <w:rFonts w:hint="eastAsia" w:ascii="宋体" w:hAnsi="宋体" w:cs="Arial"/>
          <w:sz w:val="24"/>
          <w:lang w:eastAsia="zh-CN"/>
        </w:rPr>
        <w:t>（五）其他不适当履行信息报告义务的情形。</w:t>
      </w:r>
    </w:p>
    <w:p w14:paraId="3D333CB9">
      <w:pPr>
        <w:spacing w:line="460" w:lineRule="exact"/>
        <w:rPr>
          <w:rFonts w:ascii="宋体" w:hAnsi="宋体"/>
          <w:sz w:val="24"/>
          <w:lang w:eastAsia="zh-CN"/>
        </w:rPr>
      </w:pPr>
    </w:p>
    <w:p w14:paraId="3475038D">
      <w:pPr>
        <w:numPr>
          <w:ilvl w:val="0"/>
          <w:numId w:val="3"/>
        </w:numPr>
        <w:spacing w:line="460" w:lineRule="exact"/>
        <w:jc w:val="center"/>
        <w:rPr>
          <w:rFonts w:ascii="宋体" w:hAnsi="宋体"/>
          <w:b/>
          <w:sz w:val="24"/>
        </w:rPr>
      </w:pPr>
      <w:r>
        <w:rPr>
          <w:rFonts w:hint="eastAsia" w:ascii="宋体" w:hAnsi="宋体"/>
          <w:b/>
          <w:sz w:val="24"/>
        </w:rPr>
        <w:t>附则</w:t>
      </w:r>
    </w:p>
    <w:p w14:paraId="1B877D2B">
      <w:pPr>
        <w:spacing w:line="460" w:lineRule="exact"/>
        <w:jc w:val="center"/>
        <w:rPr>
          <w:rFonts w:ascii="宋体" w:hAnsi="宋体"/>
          <w:b/>
          <w:sz w:val="24"/>
        </w:rPr>
      </w:pPr>
    </w:p>
    <w:p w14:paraId="2D095E0B">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本制度所称“第一时间”是指报告人获知拟报告信息的当天（不超过当日的24时）。</w:t>
      </w:r>
    </w:p>
    <w:p w14:paraId="1BAED5E8">
      <w:pPr>
        <w:spacing w:line="460" w:lineRule="exact"/>
        <w:rPr>
          <w:rFonts w:ascii="宋体" w:hAnsi="宋体"/>
          <w:sz w:val="24"/>
          <w:lang w:eastAsia="zh-CN"/>
        </w:rPr>
      </w:pPr>
      <w:r>
        <w:rPr>
          <w:rFonts w:hint="eastAsia" w:ascii="宋体" w:hAnsi="宋体"/>
          <w:sz w:val="24"/>
          <w:lang w:eastAsia="zh-CN"/>
        </w:rPr>
        <w:t xml:space="preserve">   </w:t>
      </w:r>
    </w:p>
    <w:p w14:paraId="7ADB549E">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本制度规定的报告人的通知方式包括电话通知、电子邮件通知、传真通知及书面通知。</w:t>
      </w:r>
    </w:p>
    <w:p w14:paraId="0F9BE19A">
      <w:pPr>
        <w:spacing w:line="460" w:lineRule="exact"/>
        <w:rPr>
          <w:rFonts w:ascii="宋体" w:hAnsi="宋体"/>
          <w:sz w:val="24"/>
          <w:lang w:eastAsia="zh-CN"/>
        </w:rPr>
      </w:pPr>
      <w:r>
        <w:rPr>
          <w:rFonts w:hint="eastAsia" w:ascii="宋体" w:hAnsi="宋体"/>
          <w:sz w:val="24"/>
          <w:lang w:eastAsia="zh-CN"/>
        </w:rPr>
        <w:t xml:space="preserve">  </w:t>
      </w:r>
    </w:p>
    <w:p w14:paraId="13C92B3D">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本制度如与《上市规则》、《公司章程》等有关法律、法规、规范性文件的规定有冲突的，则以《上市规则》、《公司章程》等有关法律、法规和/或规范性文件的相关规定为准。</w:t>
      </w:r>
    </w:p>
    <w:p w14:paraId="7718B680">
      <w:pPr>
        <w:spacing w:line="460" w:lineRule="exact"/>
        <w:rPr>
          <w:rFonts w:ascii="宋体" w:hAnsi="宋体"/>
          <w:sz w:val="24"/>
          <w:lang w:eastAsia="zh-CN"/>
        </w:rPr>
      </w:pPr>
      <w:r>
        <w:rPr>
          <w:rFonts w:hint="eastAsia" w:ascii="宋体" w:hAnsi="宋体"/>
          <w:sz w:val="24"/>
          <w:lang w:eastAsia="zh-CN"/>
        </w:rPr>
        <w:t xml:space="preserve">  </w:t>
      </w:r>
    </w:p>
    <w:p w14:paraId="371D3DC7">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本制度由公司董事会负责解释和修订。</w:t>
      </w:r>
    </w:p>
    <w:p w14:paraId="1E22E5E5">
      <w:pPr>
        <w:spacing w:line="460" w:lineRule="exact"/>
        <w:rPr>
          <w:rFonts w:ascii="宋体" w:hAnsi="宋体"/>
          <w:sz w:val="24"/>
          <w:lang w:eastAsia="zh-CN"/>
        </w:rPr>
      </w:pPr>
    </w:p>
    <w:p w14:paraId="52B00801">
      <w:pPr>
        <w:numPr>
          <w:ilvl w:val="0"/>
          <w:numId w:val="2"/>
        </w:numPr>
        <w:tabs>
          <w:tab w:val="left" w:pos="1260"/>
          <w:tab w:val="clear" w:pos="1440"/>
        </w:tabs>
        <w:spacing w:line="360" w:lineRule="auto"/>
        <w:ind w:left="1330" w:hanging="1329" w:hangingChars="554"/>
        <w:rPr>
          <w:rFonts w:ascii="宋体" w:hAnsi="宋体" w:cs="Arial"/>
          <w:sz w:val="24"/>
          <w:lang w:eastAsia="zh-CN"/>
        </w:rPr>
      </w:pPr>
      <w:r>
        <w:rPr>
          <w:rFonts w:hint="eastAsia" w:ascii="宋体" w:hAnsi="宋体" w:cs="Arial"/>
          <w:sz w:val="24"/>
          <w:lang w:eastAsia="zh-CN"/>
        </w:rPr>
        <w:t>本制度经公司董事会审议通过之日起生效执行。</w:t>
      </w:r>
    </w:p>
    <w:sectPr>
      <w:headerReference r:id="rId3" w:type="default"/>
      <w:footerReference r:id="rId4" w:type="default"/>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Grande">
    <w:altName w:val="Arial"/>
    <w:panose1 w:val="00000000000000000000"/>
    <w:charset w:val="00"/>
    <w:family w:val="auto"/>
    <w:pitch w:val="default"/>
    <w:sig w:usb0="00000000" w:usb1="00000000" w:usb2="00000000" w:usb3="00000000" w:csb0="000001B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2CC4">
    <w:pPr>
      <w:pStyle w:val="4"/>
      <w:jc w:val="center"/>
      <w:rPr>
        <w:sz w:val="21"/>
      </w:rPr>
    </w:pPr>
    <w:r>
      <w:rPr>
        <w:sz w:val="21"/>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B599D">
                          <w:pPr>
                            <w:pStyle w:val="4"/>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97B599D">
                    <w:pPr>
                      <w:pStyle w:val="4"/>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8F49F">
    <w:pPr>
      <w:pStyle w:val="5"/>
      <w:rPr>
        <w:rFonts w:ascii="黑体" w:hAnsi="黑体" w:eastAsia="黑体" w:cs="Arial"/>
        <w:b/>
        <w:sz w:val="30"/>
        <w:szCs w:val="30"/>
      </w:rPr>
    </w:pPr>
    <w:r>
      <w:rPr>
        <w:lang w:eastAsia="zh-CN"/>
      </w:rPr>
      <w:drawing>
        <wp:anchor distT="0" distB="0" distL="114300" distR="114300" simplePos="0" relativeHeight="251659264" behindDoc="0" locked="0" layoutInCell="1" allowOverlap="1">
          <wp:simplePos x="0" y="0"/>
          <wp:positionH relativeFrom="column">
            <wp:posOffset>73025</wp:posOffset>
          </wp:positionH>
          <wp:positionV relativeFrom="paragraph">
            <wp:posOffset>-6985</wp:posOffset>
          </wp:positionV>
          <wp:extent cx="381000" cy="403860"/>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381000" cy="403860"/>
                  </a:xfrm>
                  <a:prstGeom prst="rect">
                    <a:avLst/>
                  </a:prstGeom>
                  <a:noFill/>
                  <a:ln>
                    <a:noFill/>
                  </a:ln>
                </pic:spPr>
              </pic:pic>
            </a:graphicData>
          </a:graphic>
        </wp:anchor>
      </w:drawing>
    </w:r>
  </w:p>
  <w:p w14:paraId="21350A0A">
    <w:pPr>
      <w:pStyle w:val="5"/>
      <w:rPr>
        <w:lang w:eastAsia="zh-CN"/>
      </w:rPr>
    </w:pPr>
    <w:r>
      <w:rPr>
        <w:rFonts w:hint="eastAsia"/>
        <w:lang w:eastAsia="zh-CN"/>
      </w:rPr>
      <w:t>永兴特种材料科技股份有限公司重大信息内部报告制度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B1F50"/>
    <w:multiLevelType w:val="multilevel"/>
    <w:tmpl w:val="346B1F50"/>
    <w:lvl w:ilvl="0" w:tentative="0">
      <w:start w:val="3"/>
      <w:numFmt w:val="japaneseCounting"/>
      <w:lvlText w:val="第%1章"/>
      <w:lvlJc w:val="left"/>
      <w:pPr>
        <w:tabs>
          <w:tab w:val="left" w:pos="960"/>
        </w:tabs>
        <w:ind w:left="960" w:hanging="9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9BC3056"/>
    <w:multiLevelType w:val="multilevel"/>
    <w:tmpl w:val="39BC3056"/>
    <w:lvl w:ilvl="0" w:tentative="0">
      <w:start w:val="1"/>
      <w:numFmt w:val="japaneseCounting"/>
      <w:lvlText w:val="第%1章"/>
      <w:lvlJc w:val="left"/>
      <w:pPr>
        <w:tabs>
          <w:tab w:val="left" w:pos="960"/>
        </w:tabs>
        <w:ind w:left="960" w:hanging="9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A67287B"/>
    <w:multiLevelType w:val="multilevel"/>
    <w:tmpl w:val="4A67287B"/>
    <w:lvl w:ilvl="0" w:tentative="0">
      <w:start w:val="1"/>
      <w:numFmt w:val="japaneseCounting"/>
      <w:lvlText w:val="第%1条"/>
      <w:lvlJc w:val="left"/>
      <w:pPr>
        <w:tabs>
          <w:tab w:val="left" w:pos="1440"/>
        </w:tabs>
        <w:ind w:left="1440" w:hanging="96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decimal"/>
      <w:lvlText w:val="（%3）"/>
      <w:lvlJc w:val="left"/>
      <w:pPr>
        <w:tabs>
          <w:tab w:val="left" w:pos="2040"/>
        </w:tabs>
        <w:ind w:left="2040" w:hanging="720"/>
      </w:pPr>
      <w:rPr>
        <w:rFonts w:hint="eastAsia"/>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FAE"/>
    <w:rsid w:val="00031C9F"/>
    <w:rsid w:val="00274677"/>
    <w:rsid w:val="00280DE6"/>
    <w:rsid w:val="002C46CF"/>
    <w:rsid w:val="003854BD"/>
    <w:rsid w:val="00385EC5"/>
    <w:rsid w:val="003F2638"/>
    <w:rsid w:val="004A17D7"/>
    <w:rsid w:val="004A73F3"/>
    <w:rsid w:val="004C697B"/>
    <w:rsid w:val="004F6897"/>
    <w:rsid w:val="00525758"/>
    <w:rsid w:val="00613E14"/>
    <w:rsid w:val="00622009"/>
    <w:rsid w:val="00677A68"/>
    <w:rsid w:val="006845CD"/>
    <w:rsid w:val="00690718"/>
    <w:rsid w:val="006A1B7E"/>
    <w:rsid w:val="006A7543"/>
    <w:rsid w:val="007272F6"/>
    <w:rsid w:val="0075172A"/>
    <w:rsid w:val="00763B4E"/>
    <w:rsid w:val="007A6B78"/>
    <w:rsid w:val="007C2DF0"/>
    <w:rsid w:val="008807CA"/>
    <w:rsid w:val="008B5366"/>
    <w:rsid w:val="00A301CB"/>
    <w:rsid w:val="00A428F7"/>
    <w:rsid w:val="00A8220F"/>
    <w:rsid w:val="00C1216C"/>
    <w:rsid w:val="00C1406A"/>
    <w:rsid w:val="00C6686F"/>
    <w:rsid w:val="00CE4FAE"/>
    <w:rsid w:val="00D94E46"/>
    <w:rsid w:val="00DC3D57"/>
    <w:rsid w:val="00DC7452"/>
    <w:rsid w:val="00E474CA"/>
    <w:rsid w:val="00F611CC"/>
    <w:rsid w:val="00F81FE6"/>
    <w:rsid w:val="0B4F0A2A"/>
    <w:rsid w:val="0C7F57CF"/>
    <w:rsid w:val="5A677B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rPr>
      <w:sz w:val="24"/>
      <w:lang w:val="zh-CN" w:eastAsia="zh-CN"/>
    </w:rPr>
  </w:style>
  <w:style w:type="paragraph" w:styleId="3">
    <w:name w:val="Balloon Text"/>
    <w:basedOn w:val="1"/>
    <w:link w:val="13"/>
    <w:semiHidden/>
    <w:unhideWhenUsed/>
    <w:qFormat/>
    <w:uiPriority w:val="99"/>
    <w:rPr>
      <w:rFonts w:ascii="Lucida Grande" w:hAnsi="Lucida Grande"/>
      <w:sz w:val="18"/>
      <w:szCs w:val="18"/>
      <w:lang w:val="zh-CN" w:eastAsia="zh-CN"/>
    </w:r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page number"/>
    <w:basedOn w:val="8"/>
    <w:semiHidden/>
    <w:qFormat/>
    <w:uiPriority w:val="0"/>
  </w:style>
  <w:style w:type="character" w:styleId="10">
    <w:name w:val="FollowedHyperlink"/>
    <w:semiHidden/>
    <w:qFormat/>
    <w:uiPriority w:val="0"/>
    <w:rPr>
      <w:color w:val="800080"/>
      <w:u w:val="single"/>
    </w:rPr>
  </w:style>
  <w:style w:type="character" w:styleId="11">
    <w:name w:val="Hyperlink"/>
    <w:semiHidden/>
    <w:qFormat/>
    <w:uiPriority w:val="0"/>
    <w:rPr>
      <w:color w:val="0033AA"/>
      <w:u w:val="single"/>
    </w:rPr>
  </w:style>
  <w:style w:type="character" w:styleId="12">
    <w:name w:val="annotation reference"/>
    <w:semiHidden/>
    <w:unhideWhenUsed/>
    <w:qFormat/>
    <w:uiPriority w:val="99"/>
    <w:rPr>
      <w:sz w:val="18"/>
      <w:szCs w:val="18"/>
    </w:rPr>
  </w:style>
  <w:style w:type="character" w:customStyle="1" w:styleId="13">
    <w:name w:val="批注框文本 字符"/>
    <w:link w:val="3"/>
    <w:semiHidden/>
    <w:qFormat/>
    <w:uiPriority w:val="99"/>
    <w:rPr>
      <w:rFonts w:ascii="Lucida Grande" w:hAnsi="Lucida Grande" w:cs="Lucida Grande"/>
      <w:kern w:val="2"/>
      <w:sz w:val="18"/>
      <w:szCs w:val="18"/>
    </w:rPr>
  </w:style>
  <w:style w:type="character" w:customStyle="1" w:styleId="14">
    <w:name w:val="批注文字 字符"/>
    <w:link w:val="2"/>
    <w:semiHidden/>
    <w:qFormat/>
    <w:uiPriority w:val="99"/>
    <w:rPr>
      <w:kern w:val="2"/>
      <w:sz w:val="24"/>
      <w:szCs w:val="24"/>
    </w:rPr>
  </w:style>
  <w:style w:type="character" w:customStyle="1" w:styleId="15">
    <w:name w:val="批注主题 字符"/>
    <w:link w:val="6"/>
    <w:semiHidden/>
    <w:qFormat/>
    <w:uiPriority w:val="99"/>
    <w:rPr>
      <w:b/>
      <w:bCs/>
      <w:kern w:val="2"/>
      <w:sz w:val="24"/>
      <w:szCs w:val="24"/>
    </w:rPr>
  </w:style>
  <w:style w:type="paragraph" w:customStyle="1" w:styleId="16">
    <w:name w:val="修订1"/>
    <w:hidden/>
    <w:qFormat/>
    <w:uiPriority w:val="71"/>
    <w:rPr>
      <w:rFonts w:ascii="Times New Roman" w:hAnsi="Times New Roman" w:eastAsia="宋体" w:cs="Times New Roman"/>
      <w:kern w:val="2"/>
      <w:sz w:val="21"/>
      <w:szCs w:val="24"/>
      <w:lang w:val="en-US" w:eastAsia="en-US"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8</Pages>
  <Words>4547</Words>
  <Characters>4561</Characters>
  <Lines>33</Lines>
  <Paragraphs>9</Paragraphs>
  <TotalTime>12</TotalTime>
  <ScaleCrop>false</ScaleCrop>
  <LinksUpToDate>false</LinksUpToDate>
  <CharactersWithSpaces>4599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2023-12-25T06:28:00Z</dcterms:created>
  <dc:creator>sony</dc:creator>
  <cp:lastModifiedBy>lln</cp:lastModifiedBy>
  <dcterms:modified xsi:type="dcterms:W3CDTF">2025-09-02T02:20:17Z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2052-12.1.0.22529</vt:lpwstr>
  </property>
  <property fmtid="{D5CDD505-2E9C-101B-9397-08002B2CF9AE}" pid="4" name="ICV">
    <vt:lpwstr>778729C4EEE34723B85C909250B4ADA6_13</vt:lpwstr>
  </property>
</Properties>
</file>