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A217C">
      <w:pPr>
        <w:tabs>
          <w:tab w:val="left" w:pos="1440"/>
          <w:tab w:val="left" w:pos="1980"/>
        </w:tabs>
        <w:spacing w:line="293" w:lineRule="auto"/>
        <w:jc w:val="center"/>
        <w:rPr>
          <w:rFonts w:ascii="宋体" w:hAnsi="宋体" w:cs="Arial"/>
          <w:b/>
          <w:sz w:val="32"/>
          <w:szCs w:val="32"/>
        </w:rPr>
      </w:pPr>
      <w:bookmarkStart w:id="0" w:name="_GoBack"/>
      <w:bookmarkEnd w:id="0"/>
    </w:p>
    <w:p w14:paraId="2BC9F4D6">
      <w:pPr>
        <w:tabs>
          <w:tab w:val="left" w:pos="1440"/>
          <w:tab w:val="left" w:pos="1980"/>
        </w:tabs>
        <w:spacing w:line="293" w:lineRule="auto"/>
        <w:jc w:val="center"/>
        <w:rPr>
          <w:rFonts w:ascii="宋体" w:hAnsi="宋体" w:cs="Arial"/>
          <w:b/>
          <w:sz w:val="32"/>
          <w:szCs w:val="32"/>
        </w:rPr>
      </w:pPr>
      <w:r>
        <w:rPr>
          <w:rFonts w:hint="eastAsia" w:ascii="宋体" w:hAnsi="宋体" w:cs="Arial"/>
          <w:b/>
          <w:sz w:val="32"/>
          <w:szCs w:val="32"/>
        </w:rPr>
        <w:t>永兴特种材料科技股份有限公司</w:t>
      </w:r>
    </w:p>
    <w:p w14:paraId="6357B0E9">
      <w:pPr>
        <w:tabs>
          <w:tab w:val="left" w:pos="1440"/>
          <w:tab w:val="left" w:pos="1980"/>
        </w:tabs>
        <w:spacing w:line="293" w:lineRule="auto"/>
        <w:jc w:val="center"/>
        <w:rPr>
          <w:rFonts w:ascii="宋体" w:hAnsi="宋体" w:cs="Arial"/>
          <w:b/>
          <w:sz w:val="32"/>
          <w:szCs w:val="32"/>
        </w:rPr>
      </w:pPr>
      <w:r>
        <w:rPr>
          <w:rFonts w:ascii="宋体" w:hAnsi="宋体" w:cs="Arial"/>
          <w:b/>
          <w:sz w:val="32"/>
          <w:szCs w:val="32"/>
        </w:rPr>
        <w:t>对外担保</w:t>
      </w:r>
      <w:r>
        <w:rPr>
          <w:rFonts w:hint="eastAsia" w:ascii="宋体" w:hAnsi="宋体" w:cs="Arial"/>
          <w:b/>
          <w:sz w:val="32"/>
          <w:szCs w:val="32"/>
        </w:rPr>
        <w:t>管理</w:t>
      </w:r>
      <w:r>
        <w:rPr>
          <w:rFonts w:ascii="宋体" w:hAnsi="宋体" w:cs="Arial"/>
          <w:b/>
          <w:sz w:val="32"/>
          <w:szCs w:val="32"/>
        </w:rPr>
        <w:t>制度</w:t>
      </w:r>
    </w:p>
    <w:p w14:paraId="538AE0FF">
      <w:pPr>
        <w:tabs>
          <w:tab w:val="left" w:pos="1440"/>
          <w:tab w:val="left" w:pos="1980"/>
        </w:tabs>
        <w:spacing w:line="293" w:lineRule="auto"/>
        <w:jc w:val="center"/>
        <w:rPr>
          <w:rFonts w:ascii="宋体" w:hAnsi="宋体" w:cs="Arial"/>
          <w:sz w:val="32"/>
          <w:szCs w:val="32"/>
        </w:rPr>
      </w:pPr>
    </w:p>
    <w:p w14:paraId="4890D346">
      <w:pPr>
        <w:numPr>
          <w:ilvl w:val="0"/>
          <w:numId w:val="1"/>
        </w:numPr>
        <w:tabs>
          <w:tab w:val="left" w:pos="1440"/>
          <w:tab w:val="left" w:pos="1980"/>
        </w:tabs>
        <w:spacing w:line="293" w:lineRule="auto"/>
        <w:jc w:val="center"/>
        <w:rPr>
          <w:rFonts w:ascii="宋体" w:hAnsi="宋体" w:cs="Arial"/>
          <w:b/>
          <w:sz w:val="24"/>
        </w:rPr>
      </w:pPr>
      <w:r>
        <w:rPr>
          <w:rFonts w:ascii="宋体" w:hAnsi="宋体" w:cs="Arial"/>
          <w:b/>
          <w:sz w:val="24"/>
        </w:rPr>
        <w:t>总则</w:t>
      </w:r>
    </w:p>
    <w:p w14:paraId="5DF37502">
      <w:pPr>
        <w:tabs>
          <w:tab w:val="left" w:pos="1440"/>
          <w:tab w:val="left" w:pos="1680"/>
          <w:tab w:val="left" w:pos="2100"/>
          <w:tab w:val="left" w:pos="2520"/>
          <w:tab w:val="left" w:pos="2940"/>
          <w:tab w:val="left" w:pos="3360"/>
          <w:tab w:val="left" w:pos="3780"/>
          <w:tab w:val="left" w:pos="4200"/>
        </w:tabs>
        <w:spacing w:line="293" w:lineRule="auto"/>
        <w:jc w:val="left"/>
        <w:rPr>
          <w:rFonts w:ascii="宋体" w:hAnsi="宋体" w:cs="Arial"/>
          <w:sz w:val="24"/>
        </w:rPr>
      </w:pP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sz w:val="24"/>
        </w:rPr>
        <w:tab/>
      </w:r>
    </w:p>
    <w:p w14:paraId="20614D67">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为了保护投资者的合法权益, 规范</w:t>
      </w:r>
      <w:r>
        <w:rPr>
          <w:rFonts w:hint="eastAsia" w:cs="Arial" w:asciiTheme="minorEastAsia" w:hAnsiTheme="minorEastAsia" w:eastAsiaTheme="minorEastAsia"/>
          <w:sz w:val="24"/>
        </w:rPr>
        <w:t>永兴特种材料科技股份有限公司</w:t>
      </w:r>
      <w:r>
        <w:rPr>
          <w:rFonts w:cs="Arial" w:asciiTheme="minorEastAsia" w:hAnsiTheme="minorEastAsia" w:eastAsiaTheme="minorEastAsia"/>
          <w:sz w:val="24"/>
        </w:rPr>
        <w:t>(下称“公司”)的对外担保行为, 有效防范公司对外担保风险, 确保公司资产安全, 根据《中华人民共和国公司法》、《中华人民共和国</w:t>
      </w:r>
      <w:r>
        <w:rPr>
          <w:rFonts w:hint="eastAsia" w:cs="Arial" w:asciiTheme="minorEastAsia" w:hAnsiTheme="minorEastAsia" w:eastAsiaTheme="minorEastAsia"/>
          <w:sz w:val="24"/>
        </w:rPr>
        <w:t>证券</w:t>
      </w:r>
      <w:r>
        <w:rPr>
          <w:rFonts w:cs="Arial" w:asciiTheme="minorEastAsia" w:hAnsiTheme="minorEastAsia" w:eastAsiaTheme="minorEastAsia"/>
          <w:sz w:val="24"/>
        </w:rPr>
        <w:t>法》、《中华人民共和国</w:t>
      </w:r>
      <w:r>
        <w:rPr>
          <w:rFonts w:hint="eastAsia" w:cs="Arial" w:asciiTheme="minorEastAsia" w:hAnsiTheme="minorEastAsia" w:eastAsiaTheme="minorEastAsia"/>
          <w:sz w:val="24"/>
        </w:rPr>
        <w:t>民法典</w:t>
      </w:r>
      <w:r>
        <w:rPr>
          <w:rFonts w:cs="Arial" w:asciiTheme="minorEastAsia" w:hAnsiTheme="minorEastAsia" w:eastAsiaTheme="minorEastAsia"/>
          <w:sz w:val="24"/>
        </w:rPr>
        <w:t xml:space="preserve">》等法律、法规、规范性文件以及本公司章程的有关规定, 结合公司的实际情况, 特制定本制度。 </w:t>
      </w:r>
    </w:p>
    <w:p w14:paraId="36E9B3B9">
      <w:pPr>
        <w:tabs>
          <w:tab w:val="left" w:pos="1440"/>
          <w:tab w:val="left" w:pos="1980"/>
        </w:tabs>
        <w:spacing w:line="293" w:lineRule="auto"/>
        <w:rPr>
          <w:rFonts w:cs="Arial" w:asciiTheme="minorEastAsia" w:hAnsiTheme="minorEastAsia" w:eastAsiaTheme="minorEastAsia"/>
          <w:sz w:val="24"/>
        </w:rPr>
      </w:pPr>
    </w:p>
    <w:p w14:paraId="0E41390F">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 xml:space="preserve">本制度所称对外担保是指公司为他人提供的担保, 包括公司对控股子公司的担保。 </w:t>
      </w:r>
    </w:p>
    <w:p w14:paraId="120461BA">
      <w:pPr>
        <w:tabs>
          <w:tab w:val="left" w:pos="1440"/>
          <w:tab w:val="left" w:pos="1980"/>
        </w:tabs>
        <w:spacing w:line="293" w:lineRule="auto"/>
        <w:rPr>
          <w:rFonts w:cs="Arial" w:asciiTheme="minorEastAsia" w:hAnsiTheme="minorEastAsia" w:eastAsiaTheme="minorEastAsia"/>
          <w:sz w:val="24"/>
        </w:rPr>
      </w:pPr>
    </w:p>
    <w:p w14:paraId="07782D92">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 xml:space="preserve">公司对外担保实行统一管理, 非经公司董事会或股东会批准, 任何人无权以公司名义签署对外担保的合同、协议或其他类似的法律文件。 </w:t>
      </w:r>
    </w:p>
    <w:p w14:paraId="6C2ECC08">
      <w:pPr>
        <w:tabs>
          <w:tab w:val="left" w:pos="1440"/>
          <w:tab w:val="left" w:pos="1980"/>
        </w:tabs>
        <w:spacing w:line="293" w:lineRule="auto"/>
        <w:rPr>
          <w:rFonts w:cs="Arial" w:asciiTheme="minorEastAsia" w:hAnsiTheme="minorEastAsia" w:eastAsiaTheme="minorEastAsia"/>
          <w:sz w:val="24"/>
        </w:rPr>
      </w:pPr>
    </w:p>
    <w:p w14:paraId="7DB84934">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 xml:space="preserve">公司董事和高级管理人员应审慎对待和严格控制担保产生的债务风险, 并对违规或失当的对外担保产生的损失依法承担连带责任。 </w:t>
      </w:r>
    </w:p>
    <w:p w14:paraId="27E58BC1">
      <w:pPr>
        <w:tabs>
          <w:tab w:val="left" w:pos="1440"/>
          <w:tab w:val="left" w:pos="1980"/>
        </w:tabs>
        <w:spacing w:line="293" w:lineRule="auto"/>
        <w:rPr>
          <w:rFonts w:cs="Arial" w:asciiTheme="minorEastAsia" w:hAnsiTheme="minorEastAsia" w:eastAsiaTheme="minorEastAsia"/>
          <w:sz w:val="24"/>
        </w:rPr>
      </w:pPr>
    </w:p>
    <w:p w14:paraId="7172A973">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 xml:space="preserve">公司控股或实际控制子公司的对外担保, 视同公司行为, 其对外担保应执行本制度。公司控股子公司应在其董事会或股东会做出决议后及时通知公司履行有关信息披露义务。 </w:t>
      </w:r>
    </w:p>
    <w:p w14:paraId="29EEFA74">
      <w:pPr>
        <w:tabs>
          <w:tab w:val="left" w:pos="1440"/>
          <w:tab w:val="left" w:pos="1980"/>
        </w:tabs>
        <w:spacing w:line="293" w:lineRule="auto"/>
        <w:rPr>
          <w:rFonts w:cs="Arial" w:asciiTheme="minorEastAsia" w:hAnsiTheme="minorEastAsia" w:eastAsiaTheme="minorEastAsia"/>
          <w:sz w:val="24"/>
        </w:rPr>
      </w:pPr>
    </w:p>
    <w:p w14:paraId="4E3A6CF6">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 xml:space="preserve">公司对外担保应当遵循合法、审慎、互利、安全的原则, 严格控制担保风险。 </w:t>
      </w:r>
    </w:p>
    <w:p w14:paraId="3662987E">
      <w:pPr>
        <w:tabs>
          <w:tab w:val="left" w:pos="1440"/>
          <w:tab w:val="left" w:pos="1980"/>
        </w:tabs>
        <w:spacing w:line="293" w:lineRule="auto"/>
        <w:rPr>
          <w:rFonts w:cs="Arial" w:asciiTheme="minorEastAsia" w:hAnsiTheme="minorEastAsia" w:eastAsiaTheme="minorEastAsia"/>
          <w:sz w:val="24"/>
        </w:rPr>
      </w:pPr>
    </w:p>
    <w:p w14:paraId="017F224A">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cs="Arial" w:asciiTheme="minorEastAsia" w:hAnsiTheme="minorEastAsia" w:eastAsiaTheme="minorEastAsia"/>
          <w:sz w:val="24"/>
        </w:rPr>
        <w:t>公司为他人提供担保, 应</w:t>
      </w:r>
      <w:r>
        <w:rPr>
          <w:rFonts w:hint="eastAsia" w:cs="Arial" w:asciiTheme="minorEastAsia" w:hAnsiTheme="minorEastAsia" w:eastAsiaTheme="minorEastAsia"/>
          <w:sz w:val="24"/>
        </w:rPr>
        <w:t>由被担保对象提供反担保, 但董事会或股东会另有决定的除外。</w:t>
      </w:r>
      <w:r>
        <w:rPr>
          <w:rFonts w:cs="Arial" w:asciiTheme="minorEastAsia" w:hAnsiTheme="minorEastAsia" w:eastAsiaTheme="minorEastAsia"/>
          <w:sz w:val="24"/>
        </w:rPr>
        <w:t xml:space="preserve">反担保的提供方应具备实际承担能力。 </w:t>
      </w:r>
    </w:p>
    <w:p w14:paraId="7382C368">
      <w:pPr>
        <w:tabs>
          <w:tab w:val="left" w:pos="1440"/>
          <w:tab w:val="left" w:pos="1980"/>
        </w:tabs>
        <w:spacing w:line="293" w:lineRule="auto"/>
        <w:rPr>
          <w:rFonts w:cs="Arial" w:asciiTheme="minorEastAsia" w:hAnsiTheme="minorEastAsia" w:eastAsiaTheme="minorEastAsia"/>
          <w:sz w:val="24"/>
        </w:rPr>
      </w:pPr>
    </w:p>
    <w:p w14:paraId="214A6CCE">
      <w:pPr>
        <w:numPr>
          <w:ilvl w:val="0"/>
          <w:numId w:val="2"/>
        </w:numPr>
        <w:tabs>
          <w:tab w:val="left" w:pos="1440"/>
          <w:tab w:val="left" w:pos="1980"/>
        </w:tabs>
        <w:spacing w:line="293" w:lineRule="auto"/>
        <w:ind w:left="1440" w:hanging="1440"/>
        <w:rPr>
          <w:rFonts w:cs="Arial" w:asciiTheme="minorEastAsia" w:hAnsiTheme="minorEastAsia" w:eastAsiaTheme="minorEastAsia"/>
          <w:sz w:val="24"/>
        </w:rPr>
      </w:pPr>
      <w:r>
        <w:rPr>
          <w:rFonts w:hint="eastAsia" w:cs="Arial" w:asciiTheme="minorEastAsia" w:hAnsiTheme="minorEastAsia" w:eastAsiaTheme="minorEastAsia"/>
          <w:sz w:val="24"/>
        </w:rPr>
        <w:t>公司应当明确与担保事项相关的印章使用审批权限,</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做好与担保事项相关的印章使用登记</w:t>
      </w:r>
      <w:r>
        <w:rPr>
          <w:rFonts w:cs="Arial" w:asciiTheme="minorEastAsia" w:hAnsiTheme="minorEastAsia" w:eastAsiaTheme="minorEastAsia"/>
          <w:sz w:val="24"/>
        </w:rPr>
        <w:t xml:space="preserve">。 </w:t>
      </w:r>
    </w:p>
    <w:p w14:paraId="6653CDA6">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对外担保对象的审查</w:t>
      </w:r>
    </w:p>
    <w:p w14:paraId="776784F2">
      <w:pPr>
        <w:tabs>
          <w:tab w:val="left" w:pos="1440"/>
          <w:tab w:val="left" w:pos="1980"/>
        </w:tabs>
        <w:spacing w:line="293" w:lineRule="auto"/>
        <w:rPr>
          <w:rFonts w:cs="Arial" w:asciiTheme="minorEastAsia" w:hAnsiTheme="minorEastAsia" w:eastAsiaTheme="minorEastAsia"/>
          <w:sz w:val="24"/>
        </w:rPr>
      </w:pPr>
    </w:p>
    <w:p w14:paraId="268F495E">
      <w:pPr>
        <w:numPr>
          <w:ilvl w:val="0"/>
          <w:numId w:val="2"/>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公司可以为具有独立法人资格并具有以下条件之一的单位提供担保:  </w:t>
      </w:r>
    </w:p>
    <w:p w14:paraId="067D8C2D">
      <w:pPr>
        <w:tabs>
          <w:tab w:val="left" w:pos="1440"/>
          <w:tab w:val="left" w:pos="1980"/>
        </w:tabs>
        <w:spacing w:line="293" w:lineRule="auto"/>
        <w:ind w:left="465"/>
        <w:rPr>
          <w:rFonts w:cs="Arial" w:asciiTheme="minorEastAsia" w:hAnsiTheme="minorEastAsia" w:eastAsiaTheme="minorEastAsia"/>
          <w:sz w:val="24"/>
        </w:rPr>
      </w:pPr>
    </w:p>
    <w:p w14:paraId="72A67CDA">
      <w:pPr>
        <w:numPr>
          <w:ilvl w:val="0"/>
          <w:numId w:val="3"/>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因公司业务需要的互保单位;  </w:t>
      </w:r>
    </w:p>
    <w:p w14:paraId="2F5E9CC9">
      <w:pPr>
        <w:tabs>
          <w:tab w:val="left" w:pos="1440"/>
          <w:tab w:val="left" w:pos="1980"/>
        </w:tabs>
        <w:spacing w:line="293" w:lineRule="auto"/>
        <w:ind w:left="1978"/>
        <w:rPr>
          <w:rFonts w:cs="Arial" w:asciiTheme="minorEastAsia" w:hAnsiTheme="minorEastAsia" w:eastAsiaTheme="minorEastAsia"/>
          <w:sz w:val="24"/>
        </w:rPr>
      </w:pPr>
    </w:p>
    <w:p w14:paraId="35998585">
      <w:pPr>
        <w:numPr>
          <w:ilvl w:val="0"/>
          <w:numId w:val="3"/>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与公司具有重要业务关系的单位;  </w:t>
      </w:r>
    </w:p>
    <w:p w14:paraId="39BA5D6B">
      <w:pPr>
        <w:tabs>
          <w:tab w:val="left" w:pos="1440"/>
          <w:tab w:val="left" w:pos="1980"/>
        </w:tabs>
        <w:spacing w:line="293" w:lineRule="auto"/>
        <w:rPr>
          <w:rFonts w:cs="Arial" w:asciiTheme="minorEastAsia" w:hAnsiTheme="minorEastAsia" w:eastAsiaTheme="minorEastAsia"/>
          <w:sz w:val="24"/>
        </w:rPr>
      </w:pPr>
    </w:p>
    <w:p w14:paraId="167512B5">
      <w:pPr>
        <w:numPr>
          <w:ilvl w:val="0"/>
          <w:numId w:val="3"/>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与公司有潜在重要业务关系的单位;  </w:t>
      </w:r>
    </w:p>
    <w:p w14:paraId="02BA552A">
      <w:pPr>
        <w:tabs>
          <w:tab w:val="left" w:pos="1440"/>
          <w:tab w:val="left" w:pos="1980"/>
        </w:tabs>
        <w:spacing w:line="293" w:lineRule="auto"/>
        <w:rPr>
          <w:rFonts w:cs="Arial" w:asciiTheme="minorEastAsia" w:hAnsiTheme="minorEastAsia" w:eastAsiaTheme="minorEastAsia"/>
          <w:sz w:val="24"/>
        </w:rPr>
      </w:pPr>
    </w:p>
    <w:p w14:paraId="043EECD2">
      <w:pPr>
        <w:numPr>
          <w:ilvl w:val="0"/>
          <w:numId w:val="3"/>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公司控股子公司及其他有控制关系的单位。 </w:t>
      </w:r>
    </w:p>
    <w:p w14:paraId="3102DFA1">
      <w:pPr>
        <w:tabs>
          <w:tab w:val="left" w:pos="1440"/>
          <w:tab w:val="left" w:pos="1980"/>
        </w:tabs>
        <w:spacing w:line="293" w:lineRule="auto"/>
        <w:rPr>
          <w:rFonts w:cs="Arial" w:asciiTheme="minorEastAsia" w:hAnsiTheme="minorEastAsia" w:eastAsiaTheme="minorEastAsia"/>
          <w:sz w:val="24"/>
        </w:rPr>
      </w:pPr>
    </w:p>
    <w:p w14:paraId="44EFF77E">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 xml:space="preserve">以上单位必须同时具有较强的偿债能力, 并符合本制度的相关规定。 </w:t>
      </w:r>
    </w:p>
    <w:p w14:paraId="570D0E43">
      <w:pPr>
        <w:tabs>
          <w:tab w:val="left" w:pos="1440"/>
          <w:tab w:val="left" w:pos="1980"/>
        </w:tabs>
        <w:spacing w:line="293" w:lineRule="auto"/>
        <w:rPr>
          <w:rFonts w:cs="Arial" w:asciiTheme="minorEastAsia" w:hAnsiTheme="minorEastAsia" w:eastAsiaTheme="minorEastAsia"/>
          <w:sz w:val="24"/>
        </w:rPr>
      </w:pPr>
    </w:p>
    <w:p w14:paraId="3F7DD4DC">
      <w:pPr>
        <w:tabs>
          <w:tab w:val="left" w:pos="15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第十条</w:t>
      </w:r>
      <w:r>
        <w:rPr>
          <w:rFonts w:hint="eastAsia" w:cs="Arial" w:asciiTheme="minorEastAsia" w:hAnsiTheme="minorEastAsia" w:eastAsiaTheme="minorEastAsia"/>
          <w:sz w:val="24"/>
        </w:rPr>
        <w:tab/>
      </w:r>
      <w:r>
        <w:rPr>
          <w:rFonts w:cs="Arial" w:asciiTheme="minorEastAsia" w:hAnsiTheme="minorEastAsia" w:eastAsiaTheme="minorEastAsia"/>
          <w:sz w:val="24"/>
        </w:rPr>
        <w:t>虽不符合本制度第九条所列条件, 但公司认为需要发展与其业务往来和合作关系的申请担保人且风险较小的, 经公司</w:t>
      </w:r>
      <w:r>
        <w:rPr>
          <w:rFonts w:hint="eastAsia" w:cs="Arial" w:asciiTheme="minorEastAsia" w:hAnsiTheme="minorEastAsia" w:eastAsiaTheme="minorEastAsia"/>
          <w:sz w:val="24"/>
        </w:rPr>
        <w:t>出席</w:t>
      </w:r>
      <w:r>
        <w:rPr>
          <w:rFonts w:cs="Arial" w:asciiTheme="minorEastAsia" w:hAnsiTheme="minorEastAsia" w:eastAsiaTheme="minorEastAsia"/>
          <w:sz w:val="24"/>
        </w:rPr>
        <w:t>董事会</w:t>
      </w:r>
      <w:r>
        <w:rPr>
          <w:rFonts w:hint="eastAsia" w:cs="Arial" w:asciiTheme="minorEastAsia" w:hAnsiTheme="minorEastAsia" w:eastAsiaTheme="minorEastAsia"/>
          <w:sz w:val="24"/>
        </w:rPr>
        <w:t>会议</w:t>
      </w:r>
      <w:r>
        <w:rPr>
          <w:rFonts w:cs="Arial" w:asciiTheme="minorEastAsia" w:hAnsiTheme="minorEastAsia" w:eastAsiaTheme="minorEastAsia"/>
          <w:sz w:val="24"/>
        </w:rPr>
        <w:t>成员三分之二以上</w:t>
      </w:r>
      <w:r>
        <w:rPr>
          <w:rFonts w:hint="eastAsia" w:cs="Arial" w:asciiTheme="minorEastAsia" w:hAnsiTheme="minorEastAsia" w:eastAsiaTheme="minorEastAsia"/>
          <w:sz w:val="24"/>
        </w:rPr>
        <w:t>董事</w:t>
      </w:r>
      <w:r>
        <w:rPr>
          <w:rFonts w:cs="Arial" w:asciiTheme="minorEastAsia" w:hAnsiTheme="minorEastAsia" w:eastAsiaTheme="minorEastAsia"/>
          <w:sz w:val="24"/>
        </w:rPr>
        <w:t xml:space="preserve">同意或经股东会审议通过后, 可以为其提供担保。 </w:t>
      </w:r>
    </w:p>
    <w:p w14:paraId="3772D657">
      <w:pPr>
        <w:tabs>
          <w:tab w:val="left" w:pos="1440"/>
          <w:tab w:val="left" w:pos="1980"/>
        </w:tabs>
        <w:spacing w:line="293" w:lineRule="auto"/>
        <w:rPr>
          <w:rFonts w:cs="Arial" w:asciiTheme="minorEastAsia" w:hAnsiTheme="minorEastAsia" w:eastAsiaTheme="minorEastAsia"/>
          <w:sz w:val="24"/>
        </w:rPr>
      </w:pPr>
    </w:p>
    <w:p w14:paraId="35591037">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 xml:space="preserve">第十一条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公司董事会在决定为他人提供担保之前, 或提交股东会表决前, 应当掌握债务人的资信状况, 对该担保事项的利益和风险进行充分分析。 </w:t>
      </w:r>
    </w:p>
    <w:p w14:paraId="61C64976">
      <w:pPr>
        <w:tabs>
          <w:tab w:val="left" w:pos="1440"/>
          <w:tab w:val="left" w:pos="1980"/>
        </w:tabs>
        <w:spacing w:line="293" w:lineRule="auto"/>
        <w:rPr>
          <w:rFonts w:cs="Arial" w:asciiTheme="minorEastAsia" w:hAnsiTheme="minorEastAsia" w:eastAsiaTheme="minorEastAsia"/>
          <w:sz w:val="24"/>
        </w:rPr>
      </w:pPr>
    </w:p>
    <w:p w14:paraId="6C72E0FB">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 xml:space="preserve">第十二条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申请担保人的资信状况资料至少应当包括以下内容:  </w:t>
      </w:r>
    </w:p>
    <w:p w14:paraId="68287D75">
      <w:pPr>
        <w:tabs>
          <w:tab w:val="left" w:pos="1440"/>
          <w:tab w:val="left" w:pos="1980"/>
        </w:tabs>
        <w:spacing w:line="293" w:lineRule="auto"/>
        <w:ind w:left="1502" w:hanging="1502" w:hangingChars="626"/>
        <w:rPr>
          <w:rFonts w:cs="Arial" w:asciiTheme="minorEastAsia" w:hAnsiTheme="minorEastAsia" w:eastAsiaTheme="minorEastAsia"/>
          <w:sz w:val="24"/>
        </w:rPr>
      </w:pPr>
    </w:p>
    <w:p w14:paraId="1F2F823F">
      <w:pPr>
        <w:numPr>
          <w:ilvl w:val="0"/>
          <w:numId w:val="4"/>
        </w:numPr>
        <w:tabs>
          <w:tab w:val="left" w:pos="1985"/>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企业基本资料, 包括营业执照、企业章程复印件、法定代表人身份证明、反映与本公司关联关系及其他关系的相关资料等;  </w:t>
      </w:r>
    </w:p>
    <w:p w14:paraId="6665E871">
      <w:pPr>
        <w:tabs>
          <w:tab w:val="left" w:pos="1440"/>
          <w:tab w:val="left" w:pos="1980"/>
        </w:tabs>
        <w:spacing w:line="293" w:lineRule="auto"/>
        <w:ind w:left="1796"/>
        <w:rPr>
          <w:rFonts w:cs="Arial" w:asciiTheme="minorEastAsia" w:hAnsiTheme="minorEastAsia" w:eastAsiaTheme="minorEastAsia"/>
          <w:sz w:val="24"/>
        </w:rPr>
      </w:pPr>
    </w:p>
    <w:p w14:paraId="6B4615AB">
      <w:pPr>
        <w:numPr>
          <w:ilvl w:val="0"/>
          <w:numId w:val="4"/>
        </w:numPr>
        <w:tabs>
          <w:tab w:val="left" w:pos="1980"/>
        </w:tabs>
        <w:spacing w:line="293" w:lineRule="auto"/>
        <w:ind w:left="1985" w:hanging="549"/>
        <w:rPr>
          <w:rFonts w:cs="Arial" w:asciiTheme="minorEastAsia" w:hAnsiTheme="minorEastAsia" w:eastAsiaTheme="minorEastAsia"/>
          <w:sz w:val="24"/>
        </w:rPr>
      </w:pP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担保申请书, 包括但不限于担保方式、期限、金额等内容;  </w:t>
      </w:r>
    </w:p>
    <w:p w14:paraId="33AFDEC2">
      <w:pPr>
        <w:tabs>
          <w:tab w:val="left" w:pos="1980"/>
        </w:tabs>
        <w:spacing w:line="293" w:lineRule="auto"/>
        <w:rPr>
          <w:rFonts w:cs="Arial" w:asciiTheme="minorEastAsia" w:hAnsiTheme="minorEastAsia" w:eastAsiaTheme="minorEastAsia"/>
          <w:sz w:val="24"/>
        </w:rPr>
      </w:pPr>
    </w:p>
    <w:p w14:paraId="380888E9">
      <w:pPr>
        <w:numPr>
          <w:ilvl w:val="0"/>
          <w:numId w:val="4"/>
        </w:numPr>
        <w:tabs>
          <w:tab w:val="left" w:pos="1980"/>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近三年经审计的财务报告及还款能力分析;  </w:t>
      </w:r>
    </w:p>
    <w:p w14:paraId="631F5C86">
      <w:pPr>
        <w:tabs>
          <w:tab w:val="left" w:pos="1980"/>
        </w:tabs>
        <w:spacing w:line="293" w:lineRule="auto"/>
        <w:rPr>
          <w:rFonts w:cs="Arial" w:asciiTheme="minorEastAsia" w:hAnsiTheme="minorEastAsia" w:eastAsiaTheme="minorEastAsia"/>
          <w:sz w:val="24"/>
        </w:rPr>
      </w:pPr>
    </w:p>
    <w:p w14:paraId="19967CED">
      <w:pPr>
        <w:numPr>
          <w:ilvl w:val="0"/>
          <w:numId w:val="4"/>
        </w:numPr>
        <w:tabs>
          <w:tab w:val="left" w:pos="1980"/>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与借款有关的主合同的复印件;  </w:t>
      </w:r>
    </w:p>
    <w:p w14:paraId="18465677">
      <w:pPr>
        <w:tabs>
          <w:tab w:val="left" w:pos="1980"/>
        </w:tabs>
        <w:spacing w:line="293" w:lineRule="auto"/>
        <w:rPr>
          <w:rFonts w:cs="Arial" w:asciiTheme="minorEastAsia" w:hAnsiTheme="minorEastAsia" w:eastAsiaTheme="minorEastAsia"/>
          <w:sz w:val="24"/>
        </w:rPr>
      </w:pPr>
    </w:p>
    <w:p w14:paraId="40695520">
      <w:pPr>
        <w:numPr>
          <w:ilvl w:val="0"/>
          <w:numId w:val="4"/>
        </w:numPr>
        <w:tabs>
          <w:tab w:val="left" w:pos="1980"/>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申请担保人提供反担保的条件和相关资料;  </w:t>
      </w:r>
    </w:p>
    <w:p w14:paraId="5387BE63">
      <w:pPr>
        <w:numPr>
          <w:ilvl w:val="0"/>
          <w:numId w:val="4"/>
        </w:numPr>
        <w:tabs>
          <w:tab w:val="left" w:pos="1980"/>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不存在潜在的以及正在进行的重大诉讼, 仲裁或行政处罚的说明;  </w:t>
      </w:r>
    </w:p>
    <w:p w14:paraId="7FE93046">
      <w:pPr>
        <w:numPr>
          <w:ilvl w:val="0"/>
          <w:numId w:val="4"/>
        </w:numPr>
        <w:tabs>
          <w:tab w:val="left" w:pos="1980"/>
        </w:tabs>
        <w:spacing w:line="293" w:lineRule="auto"/>
        <w:ind w:left="1985" w:hanging="549"/>
        <w:rPr>
          <w:rFonts w:cs="Arial" w:asciiTheme="minorEastAsia" w:hAnsiTheme="minorEastAsia" w:eastAsiaTheme="minorEastAsia"/>
          <w:sz w:val="24"/>
        </w:rPr>
      </w:pPr>
      <w:r>
        <w:rPr>
          <w:rFonts w:cs="Arial" w:asciiTheme="minorEastAsia" w:hAnsiTheme="minorEastAsia" w:eastAsiaTheme="minorEastAsia"/>
          <w:sz w:val="24"/>
        </w:rPr>
        <w:t xml:space="preserve">其他重要资料。 </w:t>
      </w:r>
    </w:p>
    <w:p w14:paraId="0B599A1C">
      <w:pPr>
        <w:tabs>
          <w:tab w:val="left" w:pos="1440"/>
          <w:tab w:val="left" w:pos="1980"/>
        </w:tabs>
        <w:spacing w:line="293" w:lineRule="auto"/>
        <w:rPr>
          <w:rFonts w:cs="Arial" w:asciiTheme="minorEastAsia" w:hAnsiTheme="minorEastAsia" w:eastAsiaTheme="minorEastAsia"/>
          <w:sz w:val="24"/>
        </w:rPr>
      </w:pPr>
    </w:p>
    <w:p w14:paraId="6A21C68E">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第十三条</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经办责任人应根据申请担保人提供的基本资料, 对申请担保人的经营及财务状况、项目情况、信用情况及行业前景进行调查和核实, 按照合同审批程序报相关部门审核, 经分管领导和总经理审定后, 将有关资料报公司董事会或股东会审批。 </w:t>
      </w:r>
    </w:p>
    <w:p w14:paraId="7E86AE84">
      <w:pPr>
        <w:tabs>
          <w:tab w:val="left" w:pos="1440"/>
          <w:tab w:val="left" w:pos="1980"/>
        </w:tabs>
        <w:spacing w:line="293" w:lineRule="auto"/>
        <w:rPr>
          <w:rFonts w:cs="Arial" w:asciiTheme="minorEastAsia" w:hAnsiTheme="minorEastAsia" w:eastAsiaTheme="minorEastAsia"/>
          <w:sz w:val="24"/>
        </w:rPr>
      </w:pPr>
    </w:p>
    <w:p w14:paraId="5E8DF394">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第十四条</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公司董事会或股东会对呈报材料进行审议、表决, 并将表决结果记录在案。对于有下列情形之一的或提供资料不充分的, 不得为其提供担保。 </w:t>
      </w:r>
    </w:p>
    <w:p w14:paraId="44A04172">
      <w:pPr>
        <w:tabs>
          <w:tab w:val="left" w:pos="1440"/>
          <w:tab w:val="left" w:pos="1980"/>
        </w:tabs>
        <w:spacing w:line="293" w:lineRule="auto"/>
        <w:ind w:left="1502" w:hanging="1502" w:hangingChars="626"/>
        <w:rPr>
          <w:rFonts w:cs="Arial" w:asciiTheme="minorEastAsia" w:hAnsiTheme="minorEastAsia" w:eastAsiaTheme="minorEastAsia"/>
          <w:sz w:val="24"/>
        </w:rPr>
      </w:pPr>
    </w:p>
    <w:p w14:paraId="5704C351">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资金投向不符合国家法律法规或国家产业政策的;  </w:t>
      </w:r>
    </w:p>
    <w:p w14:paraId="0D5572FC">
      <w:pPr>
        <w:tabs>
          <w:tab w:val="left" w:pos="1440"/>
          <w:tab w:val="left" w:pos="1980"/>
        </w:tabs>
        <w:spacing w:line="293" w:lineRule="auto"/>
        <w:ind w:left="1978"/>
        <w:rPr>
          <w:rFonts w:cs="Arial" w:asciiTheme="minorEastAsia" w:hAnsiTheme="minorEastAsia" w:eastAsiaTheme="minorEastAsia"/>
          <w:sz w:val="24"/>
        </w:rPr>
      </w:pPr>
    </w:p>
    <w:p w14:paraId="2F7E594E">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在最近3年内财务会计文件有虚假记载或提供虚假资料的;  </w:t>
      </w:r>
    </w:p>
    <w:p w14:paraId="07576C70">
      <w:pPr>
        <w:tabs>
          <w:tab w:val="left" w:pos="1440"/>
          <w:tab w:val="left" w:pos="1980"/>
        </w:tabs>
        <w:spacing w:line="293" w:lineRule="auto"/>
        <w:rPr>
          <w:rFonts w:cs="Arial" w:asciiTheme="minorEastAsia" w:hAnsiTheme="minorEastAsia" w:eastAsiaTheme="minorEastAsia"/>
          <w:sz w:val="24"/>
        </w:rPr>
      </w:pPr>
    </w:p>
    <w:p w14:paraId="18D9CFA6">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公司曾为其担保, 发生过银行借款逾期、拖欠利息等情况, 至本次担保申请时尚未偿还或不能落实有效的处理措施的;  </w:t>
      </w:r>
    </w:p>
    <w:p w14:paraId="519D2345">
      <w:pPr>
        <w:tabs>
          <w:tab w:val="left" w:pos="1440"/>
          <w:tab w:val="left" w:pos="1980"/>
        </w:tabs>
        <w:spacing w:line="293" w:lineRule="auto"/>
        <w:rPr>
          <w:rFonts w:cs="Arial" w:asciiTheme="minorEastAsia" w:hAnsiTheme="minorEastAsia" w:eastAsiaTheme="minorEastAsia"/>
          <w:sz w:val="24"/>
        </w:rPr>
      </w:pPr>
    </w:p>
    <w:p w14:paraId="57F8B84B">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经营状况已经恶化、信誉不良, 且没有改善迹象的;  </w:t>
      </w:r>
    </w:p>
    <w:p w14:paraId="39C0D207">
      <w:pPr>
        <w:tabs>
          <w:tab w:val="left" w:pos="1440"/>
          <w:tab w:val="left" w:pos="1980"/>
        </w:tabs>
        <w:spacing w:line="293" w:lineRule="auto"/>
        <w:rPr>
          <w:rFonts w:cs="Arial" w:asciiTheme="minorEastAsia" w:hAnsiTheme="minorEastAsia" w:eastAsiaTheme="minorEastAsia"/>
          <w:sz w:val="24"/>
        </w:rPr>
      </w:pPr>
    </w:p>
    <w:p w14:paraId="76998570">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未能落实用于反担保的有效财产的;  </w:t>
      </w:r>
    </w:p>
    <w:p w14:paraId="45EEC491">
      <w:pPr>
        <w:tabs>
          <w:tab w:val="left" w:pos="1440"/>
          <w:tab w:val="left" w:pos="1980"/>
        </w:tabs>
        <w:spacing w:line="293" w:lineRule="auto"/>
        <w:rPr>
          <w:rFonts w:cs="Arial" w:asciiTheme="minorEastAsia" w:hAnsiTheme="minorEastAsia" w:eastAsiaTheme="minorEastAsia"/>
          <w:sz w:val="24"/>
        </w:rPr>
      </w:pPr>
    </w:p>
    <w:p w14:paraId="4F986D91">
      <w:pPr>
        <w:numPr>
          <w:ilvl w:val="0"/>
          <w:numId w:val="5"/>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董事会认为不能提供担保的其他情形。 </w:t>
      </w:r>
    </w:p>
    <w:p w14:paraId="0A9D9E74">
      <w:pPr>
        <w:tabs>
          <w:tab w:val="left" w:pos="1440"/>
          <w:tab w:val="left" w:pos="1980"/>
        </w:tabs>
        <w:spacing w:line="293" w:lineRule="auto"/>
        <w:rPr>
          <w:rFonts w:cs="Arial" w:asciiTheme="minorEastAsia" w:hAnsiTheme="minorEastAsia" w:eastAsiaTheme="minorEastAsia"/>
          <w:sz w:val="24"/>
        </w:rPr>
      </w:pPr>
    </w:p>
    <w:p w14:paraId="43E9DDE2">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第十五条</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申请担保人提供的反担保或其他有效防范风险的措施, 必须与担保的数额相对应。申请担保人设定反担保的财产为法律、法规禁止流通或者不可转让的财产的, 应当拒绝担保。 </w:t>
      </w:r>
    </w:p>
    <w:p w14:paraId="0D98231E">
      <w:pPr>
        <w:tabs>
          <w:tab w:val="left" w:pos="1440"/>
          <w:tab w:val="left" w:pos="1980"/>
        </w:tabs>
        <w:spacing w:line="293" w:lineRule="auto"/>
        <w:rPr>
          <w:rFonts w:cs="Arial" w:asciiTheme="minorEastAsia" w:hAnsiTheme="minorEastAsia" w:eastAsiaTheme="minorEastAsia"/>
          <w:sz w:val="24"/>
        </w:rPr>
      </w:pPr>
    </w:p>
    <w:p w14:paraId="5E2C9097">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对外担保的审批程序</w:t>
      </w:r>
    </w:p>
    <w:p w14:paraId="7A435531">
      <w:pPr>
        <w:tabs>
          <w:tab w:val="left" w:pos="1440"/>
          <w:tab w:val="left" w:pos="1980"/>
        </w:tabs>
        <w:spacing w:line="293" w:lineRule="auto"/>
        <w:rPr>
          <w:rFonts w:cs="Arial" w:asciiTheme="minorEastAsia" w:hAnsiTheme="minorEastAsia" w:eastAsiaTheme="minorEastAsia"/>
          <w:sz w:val="24"/>
        </w:rPr>
      </w:pPr>
    </w:p>
    <w:p w14:paraId="0495A18F">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第十六条</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公司对外担保的最高决策机构为公司股东会, 董事会根据公司章程有关董事会对外担保审批权限的规定, 行使对外担保的决策权。超过公司章程规定的董事会的审批权限的, 董事会应当提出预案, 并报股东会批准。董事会组织管理和实施经股东会通过的对外担保事项。 </w:t>
      </w:r>
    </w:p>
    <w:p w14:paraId="68CC6881">
      <w:pPr>
        <w:tabs>
          <w:tab w:val="left" w:pos="1440"/>
          <w:tab w:val="left" w:pos="1980"/>
        </w:tabs>
        <w:spacing w:line="293" w:lineRule="auto"/>
        <w:rPr>
          <w:rFonts w:cs="Arial" w:asciiTheme="minorEastAsia" w:hAnsiTheme="minorEastAsia" w:eastAsiaTheme="minorEastAsia"/>
          <w:sz w:val="24"/>
        </w:rPr>
      </w:pPr>
    </w:p>
    <w:p w14:paraId="7C0A38F7">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第十七条</w:t>
      </w:r>
      <w:r>
        <w:rPr>
          <w:rFonts w:hint="eastAsia" w:cs="Arial" w:asciiTheme="minorEastAsia" w:hAnsiTheme="minorEastAsia" w:eastAsiaTheme="minorEastAsia"/>
          <w:sz w:val="24"/>
        </w:rPr>
        <w:tab/>
      </w:r>
      <w:r>
        <w:rPr>
          <w:rFonts w:cs="Arial" w:asciiTheme="minorEastAsia" w:hAnsiTheme="minorEastAsia" w:eastAsiaTheme="minorEastAsia"/>
          <w:sz w:val="24"/>
        </w:rPr>
        <w:t>对于董事会权限范围内的担保事项, 除应当经全体董事的过半数通过外, 还应当经出席董事会会议的三分之二以上董事同意。</w:t>
      </w:r>
      <w:r>
        <w:rPr>
          <w:rFonts w:hint="eastAsia" w:cs="Arial" w:asciiTheme="minorEastAsia" w:hAnsiTheme="minorEastAsia" w:eastAsiaTheme="minorEastAsia"/>
          <w:sz w:val="24"/>
        </w:rPr>
        <w:t>未经董事会或股东会批准,</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公司不得对外提供担保。</w:t>
      </w:r>
    </w:p>
    <w:p w14:paraId="118E8CFA">
      <w:pPr>
        <w:tabs>
          <w:tab w:val="left" w:pos="1440"/>
          <w:tab w:val="left" w:pos="1980"/>
        </w:tabs>
        <w:spacing w:line="293" w:lineRule="auto"/>
        <w:rPr>
          <w:rFonts w:cs="Arial" w:asciiTheme="minorEastAsia" w:hAnsiTheme="minorEastAsia" w:eastAsiaTheme="minorEastAsia"/>
          <w:sz w:val="24"/>
        </w:rPr>
      </w:pPr>
    </w:p>
    <w:p w14:paraId="38119792">
      <w:pPr>
        <w:tabs>
          <w:tab w:val="left" w:pos="1498"/>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第十八条</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应由股东会审批的对外担保, 必须经董事会审议通过后, 方可提交股东会审批。须经股东会审批的对外担保, 包括但不限于下列情形:  </w:t>
      </w:r>
    </w:p>
    <w:p w14:paraId="71CD85BE">
      <w:pPr>
        <w:tabs>
          <w:tab w:val="left" w:pos="1440"/>
          <w:tab w:val="left" w:pos="1980"/>
        </w:tabs>
        <w:spacing w:line="293" w:lineRule="auto"/>
        <w:ind w:left="1502" w:hanging="1502" w:hangingChars="626"/>
        <w:rPr>
          <w:rFonts w:cs="Arial" w:asciiTheme="minorEastAsia" w:hAnsiTheme="minorEastAsia" w:eastAsiaTheme="minorEastAsia"/>
          <w:sz w:val="24"/>
        </w:rPr>
      </w:pPr>
    </w:p>
    <w:p w14:paraId="5BC0602A">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单笔担保额超过本公司最近一期经审计净资产10%的担保; </w:t>
      </w:r>
    </w:p>
    <w:p w14:paraId="3C4F6C86">
      <w:pPr>
        <w:tabs>
          <w:tab w:val="left" w:pos="1440"/>
          <w:tab w:val="left" w:pos="1980"/>
        </w:tabs>
        <w:spacing w:line="293" w:lineRule="auto"/>
        <w:ind w:left="1976"/>
        <w:rPr>
          <w:rFonts w:cs="Arial" w:asciiTheme="minorEastAsia" w:hAnsiTheme="minorEastAsia" w:eastAsiaTheme="minorEastAsia"/>
          <w:sz w:val="24"/>
        </w:rPr>
      </w:pPr>
    </w:p>
    <w:p w14:paraId="6185A07E">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本公司及控股子公司的对外担保总额,  超过本公司最近一期经审计净资产50%以后提供的任何担保; </w:t>
      </w:r>
    </w:p>
    <w:p w14:paraId="2DE07B09">
      <w:pPr>
        <w:tabs>
          <w:tab w:val="left" w:pos="1440"/>
          <w:tab w:val="left" w:pos="1980"/>
        </w:tabs>
        <w:spacing w:line="293" w:lineRule="auto"/>
        <w:rPr>
          <w:rFonts w:cs="Arial" w:asciiTheme="minorEastAsia" w:hAnsiTheme="minorEastAsia" w:eastAsiaTheme="minorEastAsia"/>
          <w:sz w:val="24"/>
        </w:rPr>
      </w:pPr>
    </w:p>
    <w:p w14:paraId="4E1E9CFD">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为最近一期财务报表数据显示资产负债率超过70%的担保对象提供的担保; </w:t>
      </w:r>
    </w:p>
    <w:p w14:paraId="404937CE">
      <w:pPr>
        <w:tabs>
          <w:tab w:val="left" w:pos="1440"/>
          <w:tab w:val="left" w:pos="1980"/>
        </w:tabs>
        <w:spacing w:line="293" w:lineRule="auto"/>
        <w:rPr>
          <w:rFonts w:cs="Arial" w:asciiTheme="minorEastAsia" w:hAnsiTheme="minorEastAsia" w:eastAsiaTheme="minorEastAsia"/>
          <w:sz w:val="24"/>
        </w:rPr>
      </w:pPr>
    </w:p>
    <w:p w14:paraId="6E588904">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最近十二个月内担保金额超过公司最近一期经审计总资产的30%; </w:t>
      </w:r>
    </w:p>
    <w:p w14:paraId="552B7AD8">
      <w:pPr>
        <w:tabs>
          <w:tab w:val="left" w:pos="1440"/>
          <w:tab w:val="left" w:pos="1980"/>
        </w:tabs>
        <w:spacing w:line="293" w:lineRule="auto"/>
        <w:rPr>
          <w:rFonts w:cs="Arial" w:asciiTheme="minorEastAsia" w:hAnsiTheme="minorEastAsia" w:eastAsiaTheme="minorEastAsia"/>
          <w:sz w:val="24"/>
        </w:rPr>
      </w:pPr>
    </w:p>
    <w:p w14:paraId="2EC138BC">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公司及公司控股子公司的对外担保总额, 超过公司最近一期经审计总资产的百分之三十以后提供的任何担保; </w:t>
      </w:r>
    </w:p>
    <w:p w14:paraId="75DCD1BF">
      <w:pPr>
        <w:tabs>
          <w:tab w:val="left" w:pos="1440"/>
          <w:tab w:val="left" w:pos="1980"/>
        </w:tabs>
        <w:spacing w:line="293" w:lineRule="auto"/>
        <w:rPr>
          <w:rFonts w:cs="Arial" w:asciiTheme="minorEastAsia" w:hAnsiTheme="minorEastAsia" w:eastAsiaTheme="minorEastAsia"/>
          <w:sz w:val="24"/>
        </w:rPr>
      </w:pPr>
    </w:p>
    <w:p w14:paraId="7D2A7B3B">
      <w:pPr>
        <w:numPr>
          <w:ilvl w:val="0"/>
          <w:numId w:val="6"/>
        </w:numPr>
        <w:tabs>
          <w:tab w:val="left" w:pos="1440"/>
          <w:tab w:val="left" w:pos="1980"/>
        </w:tabs>
        <w:spacing w:line="293" w:lineRule="auto"/>
        <w:rPr>
          <w:rFonts w:cs="Arial" w:asciiTheme="minorEastAsia" w:hAnsiTheme="minorEastAsia" w:eastAsiaTheme="minorEastAsia"/>
          <w:sz w:val="24"/>
        </w:rPr>
      </w:pPr>
      <w:r>
        <w:rPr>
          <w:rFonts w:hint="eastAsia" w:cs="Arial" w:asciiTheme="minorEastAsia" w:hAnsiTheme="minorEastAsia" w:eastAsiaTheme="minorEastAsia"/>
          <w:sz w:val="24"/>
        </w:rPr>
        <w:t xml:space="preserve">对股东、实际控制人及其关联人提供的担保; </w:t>
      </w:r>
    </w:p>
    <w:p w14:paraId="64AD9508">
      <w:pPr>
        <w:tabs>
          <w:tab w:val="left" w:pos="1440"/>
          <w:tab w:val="left" w:pos="1980"/>
        </w:tabs>
        <w:spacing w:line="293" w:lineRule="auto"/>
        <w:rPr>
          <w:rFonts w:cs="Arial" w:asciiTheme="minorEastAsia" w:hAnsiTheme="minorEastAsia" w:eastAsiaTheme="minorEastAsia"/>
          <w:sz w:val="24"/>
        </w:rPr>
      </w:pPr>
    </w:p>
    <w:p w14:paraId="743F8158">
      <w:pPr>
        <w:tabs>
          <w:tab w:val="left" w:pos="1440"/>
          <w:tab w:val="left" w:pos="1980"/>
        </w:tabs>
        <w:spacing w:line="293" w:lineRule="auto"/>
        <w:ind w:left="1997" w:leftChars="684" w:hanging="561" w:hangingChars="234"/>
        <w:rPr>
          <w:rFonts w:cs="Arial" w:asciiTheme="minorEastAsia" w:hAnsiTheme="minorEastAsia" w:eastAsiaTheme="minorEastAsia"/>
          <w:sz w:val="24"/>
        </w:rPr>
      </w:pPr>
      <w:r>
        <w:rPr>
          <w:rFonts w:hint="eastAsia" w:cs="Arial" w:asciiTheme="minorEastAsia" w:hAnsiTheme="minorEastAsia" w:eastAsiaTheme="minorEastAsia"/>
          <w:sz w:val="24"/>
        </w:rPr>
        <w:t>(七)</w:t>
      </w: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公司章程规定的其他担保情形。</w:t>
      </w:r>
    </w:p>
    <w:p w14:paraId="177F325B">
      <w:pPr>
        <w:tabs>
          <w:tab w:val="left" w:pos="1440"/>
          <w:tab w:val="left" w:pos="1980"/>
        </w:tabs>
        <w:spacing w:line="293" w:lineRule="auto"/>
        <w:rPr>
          <w:rFonts w:cs="Arial" w:asciiTheme="minorEastAsia" w:hAnsiTheme="minorEastAsia" w:eastAsiaTheme="minorEastAsia"/>
          <w:sz w:val="24"/>
        </w:rPr>
      </w:pPr>
    </w:p>
    <w:p w14:paraId="1F0C82E4">
      <w:pPr>
        <w:tabs>
          <w:tab w:val="left" w:pos="1440"/>
          <w:tab w:val="left" w:pos="1980"/>
        </w:tabs>
        <w:spacing w:line="293" w:lineRule="auto"/>
        <w:ind w:left="1438" w:leftChars="685"/>
        <w:rPr>
          <w:rFonts w:cs="Arial" w:asciiTheme="minorEastAsia" w:hAnsiTheme="minorEastAsia" w:eastAsiaTheme="minorEastAsia"/>
          <w:sz w:val="24"/>
        </w:rPr>
      </w:pPr>
      <w:r>
        <w:rPr>
          <w:rFonts w:hint="eastAsia" w:cs="Arial" w:asciiTheme="minorEastAsia" w:hAnsiTheme="minorEastAsia" w:eastAsiaTheme="minorEastAsia"/>
          <w:sz w:val="24"/>
        </w:rPr>
        <w:t>股东会审议前款第(四)项担保事项时,应经出席会议的股东所持表决权的三分之二以上通过。</w:t>
      </w:r>
    </w:p>
    <w:p w14:paraId="5EB508CD">
      <w:pPr>
        <w:tabs>
          <w:tab w:val="left" w:pos="1440"/>
          <w:tab w:val="left" w:pos="1980"/>
        </w:tabs>
        <w:spacing w:line="293" w:lineRule="auto"/>
        <w:rPr>
          <w:rFonts w:cs="Arial" w:asciiTheme="minorEastAsia" w:hAnsiTheme="minorEastAsia" w:eastAsiaTheme="minorEastAsia"/>
          <w:sz w:val="24"/>
        </w:rPr>
      </w:pPr>
    </w:p>
    <w:p w14:paraId="517410DF">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 xml:space="preserve">股东会在审议为股东、实际控制人及其关联方提供的担保议案时, 该股东或受该实际控制人支配的股东, 不得参与该项表决, 该项表决由出席股东会的其他股东所持表决权的半数以上通过。 </w:t>
      </w:r>
    </w:p>
    <w:p w14:paraId="294B7C74">
      <w:pPr>
        <w:tabs>
          <w:tab w:val="left" w:pos="1440"/>
          <w:tab w:val="left" w:pos="1980"/>
        </w:tabs>
        <w:spacing w:line="293" w:lineRule="auto"/>
        <w:ind w:left="1438" w:leftChars="685"/>
        <w:rPr>
          <w:rFonts w:cs="Arial" w:asciiTheme="minorEastAsia" w:hAnsiTheme="minorEastAsia" w:eastAsiaTheme="minorEastAsia"/>
          <w:sz w:val="24"/>
        </w:rPr>
      </w:pPr>
    </w:p>
    <w:p w14:paraId="785D4429">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 xml:space="preserve">公司在十二个月内发生的对外担保应当按照累积计算的原则适用本条的规定。 </w:t>
      </w:r>
    </w:p>
    <w:p w14:paraId="36EB8F08">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除上述第(一)项至第(</w:t>
      </w:r>
      <w:r>
        <w:rPr>
          <w:rFonts w:hint="eastAsia" w:cs="Arial" w:asciiTheme="minorEastAsia" w:hAnsiTheme="minorEastAsia" w:eastAsiaTheme="minorEastAsia"/>
          <w:sz w:val="24"/>
        </w:rPr>
        <w:t>七</w:t>
      </w:r>
      <w:r>
        <w:rPr>
          <w:rFonts w:cs="Arial" w:asciiTheme="minorEastAsia" w:hAnsiTheme="minorEastAsia" w:eastAsiaTheme="minorEastAsia"/>
          <w:sz w:val="24"/>
        </w:rPr>
        <w:t xml:space="preserve">)项所列的须由股东会审批的对外担保以外的其他对外担保事项, 由董事会根据公司章程对董事会对外担保审批权限的规定, 行使对外担保的决策权。 </w:t>
      </w:r>
    </w:p>
    <w:p w14:paraId="6621AC6C">
      <w:pPr>
        <w:tabs>
          <w:tab w:val="left" w:pos="1440"/>
          <w:tab w:val="left" w:pos="1980"/>
        </w:tabs>
        <w:spacing w:line="293" w:lineRule="auto"/>
        <w:rPr>
          <w:rFonts w:cs="Arial" w:asciiTheme="minorEastAsia" w:hAnsiTheme="minorEastAsia" w:eastAsiaTheme="minorEastAsia"/>
          <w:sz w:val="24"/>
        </w:rPr>
      </w:pPr>
    </w:p>
    <w:p w14:paraId="5B5EA981">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 xml:space="preserve">第十九条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公司可在必要时聘请外部专业机构对实施对外担保的风险进行评估, 以作为董事会或股东会进行决策的依据。 </w:t>
      </w:r>
    </w:p>
    <w:p w14:paraId="52E934BC">
      <w:pPr>
        <w:tabs>
          <w:tab w:val="left" w:pos="1440"/>
          <w:tab w:val="left" w:pos="1980"/>
        </w:tabs>
        <w:spacing w:line="293" w:lineRule="auto"/>
        <w:rPr>
          <w:rFonts w:cs="Arial" w:asciiTheme="minorEastAsia" w:hAnsiTheme="minorEastAsia" w:eastAsiaTheme="minorEastAsia"/>
          <w:sz w:val="24"/>
        </w:rPr>
      </w:pPr>
    </w:p>
    <w:p w14:paraId="324E53A0">
      <w:pPr>
        <w:tabs>
          <w:tab w:val="left" w:pos="1554"/>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 xml:space="preserve">第二十条 </w:t>
      </w: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公司为控股子公司、参股公司提供担保, 该控股子公司、参股公司的其他股东应当按出资比例提供同等担保等风险控制措施。如该股东未能按出资比例向公司控股子公司或者参股公司提供同等担保等风险控制措施, 公司董事会应当披露主要原因, 并在分析担保对象经营情况、偿债能力的基础上, 充分说明该笔担保风险是否可控, 是否损害公司利益等</w:t>
      </w:r>
      <w:r>
        <w:rPr>
          <w:rFonts w:cs="Arial" w:asciiTheme="minorEastAsia" w:hAnsiTheme="minorEastAsia" w:eastAsiaTheme="minorEastAsia"/>
          <w:sz w:val="24"/>
        </w:rPr>
        <w:t xml:space="preserve">。 </w:t>
      </w:r>
    </w:p>
    <w:p w14:paraId="798EEB37">
      <w:pPr>
        <w:tabs>
          <w:tab w:val="left" w:pos="1554"/>
          <w:tab w:val="left" w:pos="1980"/>
        </w:tabs>
        <w:spacing w:line="293" w:lineRule="auto"/>
        <w:ind w:left="1502" w:hanging="1502" w:hangingChars="626"/>
        <w:rPr>
          <w:rFonts w:cs="Arial" w:asciiTheme="minorEastAsia" w:hAnsiTheme="minorEastAsia" w:eastAsiaTheme="minorEastAsia"/>
          <w:sz w:val="24"/>
        </w:rPr>
      </w:pPr>
    </w:p>
    <w:p w14:paraId="4FF104D2">
      <w:pPr>
        <w:tabs>
          <w:tab w:val="left" w:pos="1554"/>
          <w:tab w:val="left" w:pos="1980"/>
        </w:tabs>
        <w:spacing w:line="293" w:lineRule="auto"/>
        <w:ind w:left="1502" w:hanging="1502" w:hangingChars="626"/>
        <w:rPr>
          <w:rFonts w:cs="Arial" w:asciiTheme="minorEastAsia" w:hAnsiTheme="minorEastAsia" w:eastAsiaTheme="minorEastAsia"/>
          <w:sz w:val="24"/>
        </w:rPr>
      </w:pP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公司向控股子公司提供担保, 如每年发生数量众多、需要经常订立担保协议而难以就每份协议提交董事会或者股东会审议的, 公司可以对最近一期财务报表资产负债率为70%以上和70%以下的两类子公司分别预计未来十二个月的新增担保总额度, 并提交股东会审议。前述担保事项实际发生时, 公司应当及时披露, 任一时点的担保余额不得超过股东会审议通过的担保额度。</w:t>
      </w:r>
    </w:p>
    <w:p w14:paraId="6A10E07E">
      <w:pPr>
        <w:tabs>
          <w:tab w:val="left" w:pos="1554"/>
          <w:tab w:val="left" w:pos="1980"/>
        </w:tabs>
        <w:spacing w:line="293" w:lineRule="auto"/>
        <w:ind w:left="1502" w:hanging="1502" w:hangingChars="626"/>
        <w:rPr>
          <w:rFonts w:cs="Arial" w:asciiTheme="minorEastAsia" w:hAnsiTheme="minorEastAsia" w:eastAsiaTheme="minorEastAsia"/>
          <w:sz w:val="24"/>
        </w:rPr>
      </w:pPr>
    </w:p>
    <w:p w14:paraId="7BACEB6E">
      <w:pPr>
        <w:tabs>
          <w:tab w:val="left" w:pos="1554"/>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一</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公司向其合营或者联营企业进行担保额度预计, 同时满足以下条件的, 可以在其合营或联营企业之间进行担保额度调剂, 但累计调剂总额不得超过预计担保总额度的50%:</w:t>
      </w:r>
    </w:p>
    <w:p w14:paraId="14AE3D02">
      <w:pPr>
        <w:tabs>
          <w:tab w:val="left" w:pos="1554"/>
          <w:tab w:val="left" w:pos="1980"/>
        </w:tabs>
        <w:spacing w:line="293" w:lineRule="auto"/>
        <w:ind w:left="1502" w:hanging="1502" w:hangingChars="626"/>
        <w:rPr>
          <w:rFonts w:cs="Arial" w:asciiTheme="minorEastAsia" w:hAnsiTheme="minorEastAsia" w:eastAsiaTheme="minorEastAsia"/>
          <w:sz w:val="24"/>
        </w:rPr>
      </w:pPr>
    </w:p>
    <w:p w14:paraId="31F04C11">
      <w:pPr>
        <w:tabs>
          <w:tab w:val="left" w:pos="1440"/>
          <w:tab w:val="left" w:pos="1980"/>
        </w:tabs>
        <w:spacing w:line="312" w:lineRule="auto"/>
        <w:ind w:left="1997" w:leftChars="684" w:hanging="561" w:hangingChars="234"/>
        <w:rPr>
          <w:rFonts w:cs="Arial" w:asciiTheme="minorEastAsia" w:hAnsiTheme="minorEastAsia" w:eastAsiaTheme="minorEastAsia"/>
          <w:sz w:val="24"/>
        </w:rPr>
      </w:pPr>
      <w:r>
        <w:rPr>
          <w:rFonts w:hint="eastAsia" w:cs="Arial" w:asciiTheme="minorEastAsia" w:hAnsiTheme="minorEastAsia" w:eastAsiaTheme="minorEastAsia"/>
          <w:sz w:val="24"/>
        </w:rPr>
        <w:t>(一</w:t>
      </w:r>
      <w:r>
        <w:rPr>
          <w:rFonts w:cs="Arial" w:asciiTheme="minorEastAsia" w:hAnsiTheme="minorEastAsia" w:eastAsiaTheme="minorEastAsia"/>
          <w:sz w:val="24"/>
        </w:rPr>
        <w:t>)</w:t>
      </w:r>
      <w:r>
        <w:rPr>
          <w:rFonts w:cs="Arial" w:asciiTheme="minorEastAsia" w:hAnsiTheme="minorEastAsia" w:eastAsiaTheme="minorEastAsia"/>
          <w:sz w:val="24"/>
        </w:rPr>
        <w:tab/>
      </w:r>
      <w:r>
        <w:rPr>
          <w:rFonts w:hint="eastAsia" w:cs="Arial" w:asciiTheme="minorEastAsia" w:hAnsiTheme="minorEastAsia" w:eastAsiaTheme="minorEastAsia"/>
          <w:sz w:val="24"/>
        </w:rPr>
        <w:t>获调剂方的单笔调剂金额不超过公司最近一期经审计净资产的10%;</w:t>
      </w:r>
    </w:p>
    <w:p w14:paraId="3763443A">
      <w:pPr>
        <w:tabs>
          <w:tab w:val="left" w:pos="1440"/>
          <w:tab w:val="left" w:pos="1980"/>
        </w:tabs>
        <w:spacing w:line="312" w:lineRule="auto"/>
        <w:ind w:left="1997" w:leftChars="684" w:hanging="561" w:hangingChars="234"/>
        <w:rPr>
          <w:rFonts w:cs="Arial" w:asciiTheme="minorEastAsia" w:hAnsiTheme="minorEastAsia" w:eastAsiaTheme="minorEastAsia"/>
          <w:sz w:val="24"/>
        </w:rPr>
      </w:pPr>
      <w:r>
        <w:rPr>
          <w:rFonts w:cs="Arial" w:asciiTheme="minorEastAsia" w:hAnsiTheme="minorEastAsia" w:eastAsiaTheme="minorEastAsia"/>
          <w:sz w:val="24"/>
        </w:rPr>
        <w:t>(</w:t>
      </w:r>
      <w:r>
        <w:rPr>
          <w:rFonts w:hint="eastAsia" w:cs="Arial" w:asciiTheme="minorEastAsia" w:hAnsiTheme="minorEastAsia" w:eastAsiaTheme="minorEastAsia"/>
          <w:sz w:val="24"/>
        </w:rPr>
        <w:t>二</w:t>
      </w:r>
      <w:r>
        <w:rPr>
          <w:rFonts w:cs="Arial" w:asciiTheme="minorEastAsia" w:hAnsiTheme="minorEastAsia" w:eastAsiaTheme="minorEastAsia"/>
          <w:sz w:val="24"/>
        </w:rPr>
        <w:t>)</w:t>
      </w:r>
      <w:r>
        <w:rPr>
          <w:rFonts w:cs="Arial" w:asciiTheme="minorEastAsia" w:hAnsiTheme="minorEastAsia" w:eastAsiaTheme="minorEastAsia"/>
          <w:sz w:val="24"/>
        </w:rPr>
        <w:tab/>
      </w:r>
      <w:r>
        <w:rPr>
          <w:rFonts w:hint="eastAsia" w:cs="Arial" w:asciiTheme="minorEastAsia" w:hAnsiTheme="minorEastAsia" w:eastAsiaTheme="minorEastAsia"/>
          <w:sz w:val="24"/>
        </w:rPr>
        <w:t>在调剂发生时资产负债率超过70%的担保对象,</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仅能从资产负债率超过70%(股东会审议担保额度时)的担保对象处获得担保额度;</w:t>
      </w:r>
    </w:p>
    <w:p w14:paraId="36961E32">
      <w:pPr>
        <w:tabs>
          <w:tab w:val="left" w:pos="1440"/>
          <w:tab w:val="left" w:pos="1980"/>
        </w:tabs>
        <w:spacing w:line="312" w:lineRule="auto"/>
        <w:ind w:left="1440"/>
        <w:rPr>
          <w:rFonts w:cs="Arial" w:asciiTheme="minorEastAsia" w:hAnsiTheme="minorEastAsia" w:eastAsiaTheme="minorEastAsia"/>
          <w:sz w:val="24"/>
        </w:rPr>
      </w:pPr>
      <w:r>
        <w:rPr>
          <w:rFonts w:hint="eastAsia" w:cs="Arial" w:asciiTheme="minorEastAsia" w:hAnsiTheme="minorEastAsia" w:eastAsiaTheme="minorEastAsia"/>
          <w:sz w:val="24"/>
        </w:rPr>
        <w:t>(三)</w:t>
      </w:r>
      <w:r>
        <w:rPr>
          <w:rFonts w:cs="Arial" w:asciiTheme="minorEastAsia" w:hAnsiTheme="minorEastAsia" w:eastAsiaTheme="minorEastAsia"/>
          <w:sz w:val="24"/>
        </w:rPr>
        <w:tab/>
      </w:r>
      <w:r>
        <w:rPr>
          <w:rFonts w:hint="eastAsia" w:cs="Arial" w:asciiTheme="minorEastAsia" w:hAnsiTheme="minorEastAsia" w:eastAsiaTheme="minorEastAsia"/>
          <w:sz w:val="24"/>
        </w:rPr>
        <w:t>在调剂发生时,</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获调剂方不存在逾期未偿还负债等情况;</w:t>
      </w:r>
    </w:p>
    <w:p w14:paraId="653AD0FF">
      <w:pPr>
        <w:tabs>
          <w:tab w:val="left" w:pos="1440"/>
          <w:tab w:val="left" w:pos="1980"/>
        </w:tabs>
        <w:spacing w:line="312" w:lineRule="auto"/>
        <w:ind w:left="1997" w:leftChars="684" w:hanging="561" w:hangingChars="234"/>
        <w:rPr>
          <w:rFonts w:cs="Arial" w:asciiTheme="minorEastAsia" w:hAnsiTheme="minorEastAsia" w:eastAsiaTheme="minorEastAsia"/>
          <w:sz w:val="24"/>
        </w:rPr>
      </w:pPr>
      <w:r>
        <w:rPr>
          <w:rFonts w:hint="eastAsia" w:cs="Arial" w:asciiTheme="minorEastAsia" w:hAnsiTheme="minorEastAsia" w:eastAsiaTheme="minorEastAsia"/>
          <w:sz w:val="24"/>
        </w:rPr>
        <w:t>(四)</w:t>
      </w:r>
      <w:r>
        <w:rPr>
          <w:rFonts w:cs="Arial" w:asciiTheme="minorEastAsia" w:hAnsiTheme="minorEastAsia" w:eastAsiaTheme="minorEastAsia"/>
          <w:sz w:val="24"/>
        </w:rPr>
        <w:tab/>
      </w:r>
      <w:r>
        <w:rPr>
          <w:rFonts w:hint="eastAsia" w:cs="Arial" w:asciiTheme="minorEastAsia" w:hAnsiTheme="minorEastAsia" w:eastAsiaTheme="minorEastAsia"/>
          <w:sz w:val="24"/>
        </w:rPr>
        <w:t>获调剂方的各股东按出资比例对其提供同等担保或反担保等风险控制措施。</w:t>
      </w:r>
    </w:p>
    <w:p w14:paraId="7C1BF6B7">
      <w:pPr>
        <w:tabs>
          <w:tab w:val="left" w:pos="1440"/>
          <w:tab w:val="left" w:pos="1980"/>
        </w:tabs>
        <w:spacing w:line="312" w:lineRule="auto"/>
        <w:ind w:left="1997" w:leftChars="684" w:hanging="561" w:hangingChars="234"/>
        <w:rPr>
          <w:rFonts w:cs="Arial" w:asciiTheme="minorEastAsia" w:hAnsiTheme="minorEastAsia" w:eastAsiaTheme="minorEastAsia"/>
          <w:sz w:val="24"/>
        </w:rPr>
      </w:pPr>
    </w:p>
    <w:p w14:paraId="4245EF2B">
      <w:pPr>
        <w:tabs>
          <w:tab w:val="left" w:pos="1440"/>
          <w:tab w:val="left" w:pos="1980"/>
        </w:tabs>
        <w:spacing w:line="312" w:lineRule="auto"/>
        <w:ind w:left="1997" w:leftChars="684" w:hanging="561" w:hangingChars="234"/>
        <w:rPr>
          <w:rFonts w:cs="Arial" w:asciiTheme="minorEastAsia" w:hAnsiTheme="minorEastAsia" w:eastAsiaTheme="minorEastAsia"/>
          <w:sz w:val="24"/>
        </w:rPr>
      </w:pPr>
      <w:r>
        <w:rPr>
          <w:rFonts w:hint="eastAsia" w:cs="Arial" w:asciiTheme="minorEastAsia" w:hAnsiTheme="minorEastAsia" w:eastAsiaTheme="minorEastAsia"/>
          <w:sz w:val="24"/>
        </w:rPr>
        <w:t>前述调剂事项实际发生时, 公司应当及时披露。</w:t>
      </w:r>
    </w:p>
    <w:p w14:paraId="444C1FE6">
      <w:pPr>
        <w:tabs>
          <w:tab w:val="left" w:pos="1554"/>
          <w:tab w:val="left" w:pos="1980"/>
        </w:tabs>
        <w:spacing w:line="293" w:lineRule="auto"/>
        <w:ind w:left="1502" w:hanging="1502" w:hangingChars="626"/>
        <w:rPr>
          <w:rFonts w:cs="Arial" w:asciiTheme="minorEastAsia" w:hAnsiTheme="minorEastAsia" w:eastAsiaTheme="minorEastAsia"/>
          <w:sz w:val="24"/>
        </w:rPr>
      </w:pPr>
    </w:p>
    <w:p w14:paraId="5929F6F6">
      <w:pPr>
        <w:tabs>
          <w:tab w:val="left" w:pos="1554"/>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二</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公司及控股子公司提供反担保应当比照对外担保的相关规定执行, 以提供的反担保金额为标准履行相应审议程序和信息披露义务, 但公司及控股子公司为以自身债务为基础的担保提供反担保的除外。</w:t>
      </w:r>
    </w:p>
    <w:p w14:paraId="0EA4720C">
      <w:pPr>
        <w:tabs>
          <w:tab w:val="left" w:pos="1554"/>
          <w:tab w:val="left" w:pos="1980"/>
        </w:tabs>
        <w:spacing w:line="293" w:lineRule="auto"/>
        <w:ind w:left="1502" w:hanging="1502" w:hangingChars="626"/>
        <w:rPr>
          <w:rFonts w:cs="Arial" w:asciiTheme="minorEastAsia" w:hAnsiTheme="minorEastAsia" w:eastAsiaTheme="minorEastAsia"/>
          <w:sz w:val="24"/>
        </w:rPr>
      </w:pPr>
    </w:p>
    <w:p w14:paraId="4DA0DDDD">
      <w:pPr>
        <w:tabs>
          <w:tab w:val="left" w:pos="1554"/>
          <w:tab w:val="left" w:pos="1980"/>
        </w:tabs>
        <w:spacing w:line="293" w:lineRule="auto"/>
        <w:ind w:left="1502" w:hanging="1502" w:hangingChars="626"/>
        <w:rPr>
          <w:rFonts w:cs="Arial" w:asciiTheme="minorEastAsia" w:hAnsiTheme="minorEastAsia" w:eastAsiaTheme="minorEastAsia"/>
          <w:sz w:val="24"/>
        </w:rPr>
      </w:pPr>
      <w:r>
        <w:rPr>
          <w:rFonts w:hint="eastAsia" w:cs="Arial" w:asciiTheme="minorEastAsia" w:hAnsiTheme="minorEastAsia" w:eastAsiaTheme="minorEastAsia"/>
          <w:sz w:val="24"/>
        </w:rPr>
        <w:t>第二十三条</w:t>
      </w:r>
      <w:r>
        <w:rPr>
          <w:rFonts w:hint="eastAsia" w:cs="Arial" w:asciiTheme="minorEastAsia" w:hAnsiTheme="minorEastAsia" w:eastAsiaTheme="minorEastAsia"/>
          <w:sz w:val="24"/>
        </w:rPr>
        <w:tab/>
      </w:r>
      <w:r>
        <w:rPr>
          <w:rFonts w:hint="eastAsia" w:cs="Arial" w:asciiTheme="minorEastAsia" w:hAnsiTheme="minorEastAsia" w:eastAsiaTheme="minorEastAsia"/>
          <w:sz w:val="24"/>
        </w:rPr>
        <w:t>公司控股子公司为公司合并报表范围内的法人或者其他组织提供担保的,公司应当在控股子公司履行审议程序后及时披露。按照深交所《股票上市规则》需要提交公司股东会审议的担保事项除外。公司控股子公司对公司提供的担保不适用前款规定。公司控股子公司为前述规定主体以外的其他主体提供担保的,</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视同公司提供担保,</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应当遵守本制度相关规定。</w:t>
      </w:r>
    </w:p>
    <w:p w14:paraId="3F85F866">
      <w:pPr>
        <w:tabs>
          <w:tab w:val="left" w:pos="1440"/>
          <w:tab w:val="left" w:pos="1980"/>
        </w:tabs>
        <w:spacing w:line="293" w:lineRule="auto"/>
        <w:rPr>
          <w:rFonts w:cs="Arial" w:asciiTheme="minorEastAsia" w:hAnsiTheme="minorEastAsia" w:eastAsiaTheme="minorEastAsia"/>
          <w:sz w:val="24"/>
        </w:rPr>
      </w:pPr>
    </w:p>
    <w:p w14:paraId="6FEC96AE">
      <w:pPr>
        <w:tabs>
          <w:tab w:val="left" w:pos="15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四</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公司对外担保必须订立书面的担保合同和反担保合同。担保合同和反担保合同应当具备《中华人民共和国</w:t>
      </w:r>
      <w:r>
        <w:rPr>
          <w:rFonts w:hint="eastAsia" w:cs="Arial" w:asciiTheme="minorEastAsia" w:hAnsiTheme="minorEastAsia" w:eastAsiaTheme="minorEastAsia"/>
          <w:sz w:val="24"/>
        </w:rPr>
        <w:t>民法典</w:t>
      </w:r>
      <w:r>
        <w:rPr>
          <w:rFonts w:cs="Arial" w:asciiTheme="minorEastAsia" w:hAnsiTheme="minorEastAsia" w:eastAsiaTheme="minorEastAsia"/>
          <w:sz w:val="24"/>
        </w:rPr>
        <w:t>》等法律、法规要求的内容。</w:t>
      </w:r>
    </w:p>
    <w:p w14:paraId="7EAD70D1">
      <w:pPr>
        <w:tabs>
          <w:tab w:val="left" w:pos="1440"/>
          <w:tab w:val="left" w:pos="1980"/>
        </w:tabs>
        <w:spacing w:line="293" w:lineRule="auto"/>
        <w:rPr>
          <w:rFonts w:cs="Arial" w:asciiTheme="minorEastAsia" w:hAnsiTheme="minorEastAsia" w:eastAsiaTheme="minorEastAsia"/>
          <w:sz w:val="24"/>
        </w:rPr>
      </w:pPr>
    </w:p>
    <w:p w14:paraId="69298FBA">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五</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担保合同至少应当包括以下内容:  </w:t>
      </w:r>
    </w:p>
    <w:p w14:paraId="7D981EEF">
      <w:pPr>
        <w:tabs>
          <w:tab w:val="left" w:pos="1440"/>
          <w:tab w:val="left" w:pos="1980"/>
        </w:tabs>
        <w:spacing w:line="293" w:lineRule="auto"/>
        <w:ind w:left="1502" w:hanging="1502" w:hangingChars="626"/>
        <w:rPr>
          <w:rFonts w:cs="Arial" w:asciiTheme="minorEastAsia" w:hAnsiTheme="minorEastAsia" w:eastAsiaTheme="minorEastAsia"/>
          <w:sz w:val="24"/>
        </w:rPr>
      </w:pPr>
    </w:p>
    <w:p w14:paraId="5AB085B9">
      <w:pPr>
        <w:numPr>
          <w:ilvl w:val="0"/>
          <w:numId w:val="7"/>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被担保的主债权种类、数额;  </w:t>
      </w:r>
    </w:p>
    <w:p w14:paraId="3D0BAF60">
      <w:pPr>
        <w:tabs>
          <w:tab w:val="left" w:pos="1440"/>
          <w:tab w:val="left" w:pos="1980"/>
        </w:tabs>
        <w:spacing w:line="293" w:lineRule="auto"/>
        <w:ind w:left="1978"/>
        <w:rPr>
          <w:rFonts w:cs="Arial" w:asciiTheme="minorEastAsia" w:hAnsiTheme="minorEastAsia" w:eastAsiaTheme="minorEastAsia"/>
          <w:sz w:val="24"/>
        </w:rPr>
      </w:pPr>
    </w:p>
    <w:p w14:paraId="1F25EB83">
      <w:pPr>
        <w:numPr>
          <w:ilvl w:val="0"/>
          <w:numId w:val="7"/>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债务人履行债务的期限;  </w:t>
      </w:r>
    </w:p>
    <w:p w14:paraId="06C07014">
      <w:pPr>
        <w:tabs>
          <w:tab w:val="left" w:pos="1440"/>
          <w:tab w:val="left" w:pos="1980"/>
        </w:tabs>
        <w:spacing w:line="293" w:lineRule="auto"/>
        <w:rPr>
          <w:rFonts w:cs="Arial" w:asciiTheme="minorEastAsia" w:hAnsiTheme="minorEastAsia" w:eastAsiaTheme="minorEastAsia"/>
          <w:sz w:val="24"/>
        </w:rPr>
      </w:pPr>
    </w:p>
    <w:p w14:paraId="7043F700">
      <w:pPr>
        <w:numPr>
          <w:ilvl w:val="0"/>
          <w:numId w:val="7"/>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担保的方式;  </w:t>
      </w:r>
    </w:p>
    <w:p w14:paraId="3B22AD34">
      <w:pPr>
        <w:tabs>
          <w:tab w:val="left" w:pos="1440"/>
          <w:tab w:val="left" w:pos="1980"/>
        </w:tabs>
        <w:spacing w:line="293" w:lineRule="auto"/>
        <w:rPr>
          <w:rFonts w:cs="Arial" w:asciiTheme="minorEastAsia" w:hAnsiTheme="minorEastAsia" w:eastAsiaTheme="minorEastAsia"/>
          <w:sz w:val="24"/>
        </w:rPr>
      </w:pPr>
    </w:p>
    <w:p w14:paraId="0FA3A777">
      <w:pPr>
        <w:numPr>
          <w:ilvl w:val="0"/>
          <w:numId w:val="7"/>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担保的范围;  </w:t>
      </w:r>
    </w:p>
    <w:p w14:paraId="0A0C14BD">
      <w:pPr>
        <w:tabs>
          <w:tab w:val="left" w:pos="1440"/>
          <w:tab w:val="left" w:pos="1980"/>
        </w:tabs>
        <w:spacing w:line="293" w:lineRule="auto"/>
        <w:rPr>
          <w:rFonts w:cs="Arial" w:asciiTheme="minorEastAsia" w:hAnsiTheme="minorEastAsia" w:eastAsiaTheme="minorEastAsia"/>
          <w:sz w:val="24"/>
        </w:rPr>
      </w:pPr>
    </w:p>
    <w:p w14:paraId="535B4E10">
      <w:pPr>
        <w:numPr>
          <w:ilvl w:val="0"/>
          <w:numId w:val="7"/>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保证期限;  </w:t>
      </w:r>
    </w:p>
    <w:p w14:paraId="30C1BDEC">
      <w:pPr>
        <w:tabs>
          <w:tab w:val="left" w:pos="1440"/>
          <w:tab w:val="left" w:pos="1980"/>
        </w:tabs>
        <w:spacing w:line="293" w:lineRule="auto"/>
        <w:rPr>
          <w:rFonts w:cs="Arial" w:asciiTheme="minorEastAsia" w:hAnsiTheme="minorEastAsia" w:eastAsiaTheme="minorEastAsia"/>
          <w:sz w:val="24"/>
        </w:rPr>
      </w:pPr>
    </w:p>
    <w:p w14:paraId="4DAE311F">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(六)</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当事人认为需要约定的其他事项。 </w:t>
      </w:r>
    </w:p>
    <w:p w14:paraId="63C2A994">
      <w:pPr>
        <w:tabs>
          <w:tab w:val="left" w:pos="1440"/>
          <w:tab w:val="left" w:pos="1980"/>
        </w:tabs>
        <w:spacing w:line="293" w:lineRule="auto"/>
        <w:rPr>
          <w:rFonts w:cs="Arial" w:asciiTheme="minorEastAsia" w:hAnsiTheme="minorEastAsia" w:eastAsiaTheme="minorEastAsia"/>
          <w:sz w:val="24"/>
        </w:rPr>
      </w:pPr>
    </w:p>
    <w:p w14:paraId="6594E38B">
      <w:pPr>
        <w:tabs>
          <w:tab w:val="left" w:pos="15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六</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担保合同订立时, 责任人必须全面、认真地审查主合同、担保合同和反担保合同的签订主体和有关内容。对于违反法律、法规、公司章程、公司董事会或股东会有关决议以及对公司附加不合理义务或者无法预测风险的条款, 应当要求对方修改。对方拒绝修改的, 责任人应当拒绝为其提供担保, 并向公司董事会或股东会汇报。 </w:t>
      </w:r>
    </w:p>
    <w:p w14:paraId="50E59D1B">
      <w:pPr>
        <w:tabs>
          <w:tab w:val="left" w:pos="1440"/>
          <w:tab w:val="left" w:pos="1980"/>
        </w:tabs>
        <w:spacing w:line="293" w:lineRule="auto"/>
        <w:rPr>
          <w:rFonts w:cs="Arial" w:asciiTheme="minorEastAsia" w:hAnsiTheme="minorEastAsia" w:eastAsiaTheme="minorEastAsia"/>
          <w:sz w:val="24"/>
        </w:rPr>
      </w:pPr>
    </w:p>
    <w:p w14:paraId="48875C03">
      <w:pPr>
        <w:tabs>
          <w:tab w:val="left" w:pos="1498"/>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七</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公司法定代表人或经合法授权的其他人员根据公司董事会或股东会的决议代表公司签署担保合同。未经公司股东会或董事会决议通过并授权, 任何人不得擅自代表公司签订担保合同。责任人不得越权签订担保合同或在主合同中以担保人的身份签字或盖章。 </w:t>
      </w:r>
    </w:p>
    <w:p w14:paraId="626EACCF">
      <w:pPr>
        <w:tabs>
          <w:tab w:val="left" w:pos="1440"/>
          <w:tab w:val="left" w:pos="1980"/>
        </w:tabs>
        <w:spacing w:line="293" w:lineRule="auto"/>
        <w:rPr>
          <w:rFonts w:cs="Arial" w:asciiTheme="minorEastAsia" w:hAnsiTheme="minorEastAsia" w:eastAsiaTheme="minorEastAsia"/>
          <w:sz w:val="24"/>
        </w:rPr>
      </w:pPr>
    </w:p>
    <w:p w14:paraId="6299B162">
      <w:pPr>
        <w:tabs>
          <w:tab w:val="left" w:pos="1498"/>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第二十</w:t>
      </w:r>
      <w:r>
        <w:rPr>
          <w:rFonts w:hint="eastAsia" w:cs="Arial" w:asciiTheme="minorEastAsia" w:hAnsiTheme="minorEastAsia" w:eastAsiaTheme="minorEastAsia"/>
          <w:sz w:val="24"/>
        </w:rPr>
        <w:t>八</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公司可与符合本制度规定条件的企业法人签订互保协议。责任人应当及时要求对方如实提供有关财务会计报表和其他能够反映其偿债能力的资料。 </w:t>
      </w:r>
    </w:p>
    <w:p w14:paraId="19D00A5C">
      <w:pPr>
        <w:tabs>
          <w:tab w:val="left" w:pos="1440"/>
          <w:tab w:val="left" w:pos="1980"/>
        </w:tabs>
        <w:spacing w:line="293" w:lineRule="auto"/>
        <w:rPr>
          <w:rFonts w:cs="Arial" w:asciiTheme="minorEastAsia" w:hAnsiTheme="minorEastAsia" w:eastAsiaTheme="minorEastAsia"/>
          <w:sz w:val="24"/>
        </w:rPr>
      </w:pPr>
    </w:p>
    <w:p w14:paraId="6BA5A6BA">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二十九</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在接受反担保抵押、反担保质押时, 由公司财务部门会同公司</w:t>
      </w:r>
      <w:r>
        <w:rPr>
          <w:rFonts w:hint="eastAsia" w:cs="Arial" w:asciiTheme="minorEastAsia" w:hAnsiTheme="minorEastAsia" w:eastAsiaTheme="minorEastAsia"/>
          <w:sz w:val="24"/>
        </w:rPr>
        <w:t>行政部</w:t>
      </w:r>
      <w:r>
        <w:rPr>
          <w:rFonts w:cs="Arial" w:asciiTheme="minorEastAsia" w:hAnsiTheme="minorEastAsia" w:eastAsiaTheme="minorEastAsia"/>
          <w:sz w:val="24"/>
        </w:rPr>
        <w:t xml:space="preserve">, 完善有关法律手续, 特别是及时办理抵押或质押登记等手续。 </w:t>
      </w:r>
    </w:p>
    <w:p w14:paraId="50358C70">
      <w:pPr>
        <w:tabs>
          <w:tab w:val="left" w:pos="1440"/>
          <w:tab w:val="left" w:pos="1980"/>
        </w:tabs>
        <w:spacing w:line="293" w:lineRule="auto"/>
        <w:rPr>
          <w:rFonts w:cs="Arial" w:asciiTheme="minorEastAsia" w:hAnsiTheme="minorEastAsia" w:eastAsiaTheme="minorEastAsia"/>
          <w:sz w:val="24"/>
        </w:rPr>
      </w:pPr>
    </w:p>
    <w:p w14:paraId="7F3870B5">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三十</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公司担保的债务到期后需展期并需继续由其提供担保的, 应作为新的对外担保, 重新履行担保审批程序。 </w:t>
      </w:r>
    </w:p>
    <w:p w14:paraId="3EE57995">
      <w:pPr>
        <w:tabs>
          <w:tab w:val="left" w:pos="1440"/>
          <w:tab w:val="left" w:pos="1980"/>
        </w:tabs>
        <w:spacing w:line="293" w:lineRule="auto"/>
        <w:rPr>
          <w:rFonts w:cs="Arial" w:asciiTheme="minorEastAsia" w:hAnsiTheme="minorEastAsia" w:eastAsiaTheme="minorEastAsia"/>
          <w:sz w:val="24"/>
        </w:rPr>
      </w:pPr>
    </w:p>
    <w:p w14:paraId="1E145807">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对外担保的管理</w:t>
      </w:r>
    </w:p>
    <w:p w14:paraId="59486DE4">
      <w:pPr>
        <w:tabs>
          <w:tab w:val="left" w:pos="1440"/>
          <w:tab w:val="left" w:pos="1980"/>
        </w:tabs>
        <w:spacing w:line="293" w:lineRule="auto"/>
        <w:rPr>
          <w:rFonts w:cs="Arial" w:asciiTheme="minorEastAsia" w:hAnsiTheme="minorEastAsia" w:eastAsiaTheme="minorEastAsia"/>
          <w:sz w:val="24"/>
        </w:rPr>
      </w:pPr>
    </w:p>
    <w:p w14:paraId="123FF8E9">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三十一</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对外担保由财务部门经办、</w:t>
      </w:r>
      <w:r>
        <w:rPr>
          <w:rFonts w:hint="eastAsia" w:cs="Arial" w:asciiTheme="minorEastAsia" w:hAnsiTheme="minorEastAsia" w:eastAsiaTheme="minorEastAsia"/>
          <w:sz w:val="24"/>
        </w:rPr>
        <w:t>公司行政部</w:t>
      </w:r>
      <w:r>
        <w:rPr>
          <w:rFonts w:cs="Arial" w:asciiTheme="minorEastAsia" w:hAnsiTheme="minorEastAsia" w:eastAsiaTheme="minorEastAsia"/>
          <w:sz w:val="24"/>
        </w:rPr>
        <w:t xml:space="preserve">协助办理。 </w:t>
      </w:r>
    </w:p>
    <w:p w14:paraId="5663D812">
      <w:pPr>
        <w:tabs>
          <w:tab w:val="left" w:pos="1440"/>
          <w:tab w:val="left" w:pos="1980"/>
        </w:tabs>
        <w:spacing w:line="293" w:lineRule="auto"/>
        <w:rPr>
          <w:rFonts w:cs="Arial" w:asciiTheme="minorEastAsia" w:hAnsiTheme="minorEastAsia" w:eastAsiaTheme="minorEastAsia"/>
          <w:sz w:val="24"/>
        </w:rPr>
      </w:pPr>
    </w:p>
    <w:p w14:paraId="1D7FECF8">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三十二</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公司财务部门的主要职责如下:  </w:t>
      </w:r>
    </w:p>
    <w:p w14:paraId="6700C7EE">
      <w:pPr>
        <w:tabs>
          <w:tab w:val="left" w:pos="1440"/>
          <w:tab w:val="left" w:pos="1980"/>
        </w:tabs>
        <w:spacing w:line="293" w:lineRule="auto"/>
        <w:ind w:left="1502" w:hanging="1502" w:hangingChars="626"/>
        <w:rPr>
          <w:rFonts w:cs="Arial" w:asciiTheme="minorEastAsia" w:hAnsiTheme="minorEastAsia" w:eastAsiaTheme="minorEastAsia"/>
          <w:sz w:val="24"/>
        </w:rPr>
      </w:pPr>
    </w:p>
    <w:p w14:paraId="676BCDA8">
      <w:pPr>
        <w:numPr>
          <w:ilvl w:val="0"/>
          <w:numId w:val="8"/>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对被担保单位进行资信调查, 评估;  </w:t>
      </w:r>
    </w:p>
    <w:p w14:paraId="44652B0D">
      <w:pPr>
        <w:tabs>
          <w:tab w:val="left" w:pos="1440"/>
          <w:tab w:val="left" w:pos="1980"/>
        </w:tabs>
        <w:spacing w:line="293" w:lineRule="auto"/>
        <w:ind w:left="1978"/>
        <w:rPr>
          <w:rFonts w:cs="Arial" w:asciiTheme="minorEastAsia" w:hAnsiTheme="minorEastAsia" w:eastAsiaTheme="minorEastAsia"/>
          <w:sz w:val="24"/>
        </w:rPr>
      </w:pPr>
    </w:p>
    <w:p w14:paraId="60A96332">
      <w:pPr>
        <w:numPr>
          <w:ilvl w:val="0"/>
          <w:numId w:val="8"/>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具体办理担保手续;  </w:t>
      </w:r>
    </w:p>
    <w:p w14:paraId="66C9B581">
      <w:pPr>
        <w:tabs>
          <w:tab w:val="left" w:pos="1440"/>
          <w:tab w:val="left" w:pos="1980"/>
        </w:tabs>
        <w:spacing w:line="293" w:lineRule="auto"/>
        <w:rPr>
          <w:rFonts w:cs="Arial" w:asciiTheme="minorEastAsia" w:hAnsiTheme="minorEastAsia" w:eastAsiaTheme="minorEastAsia"/>
          <w:sz w:val="24"/>
        </w:rPr>
      </w:pPr>
    </w:p>
    <w:p w14:paraId="762A255C">
      <w:pPr>
        <w:numPr>
          <w:ilvl w:val="0"/>
          <w:numId w:val="8"/>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在对外担保之后, 做好对被担保单位的跟踪、检查、监督工作;  </w:t>
      </w:r>
    </w:p>
    <w:p w14:paraId="1C319038">
      <w:pPr>
        <w:tabs>
          <w:tab w:val="left" w:pos="1440"/>
          <w:tab w:val="left" w:pos="1980"/>
        </w:tabs>
        <w:spacing w:line="293" w:lineRule="auto"/>
        <w:rPr>
          <w:rFonts w:cs="Arial" w:asciiTheme="minorEastAsia" w:hAnsiTheme="minorEastAsia" w:eastAsiaTheme="minorEastAsia"/>
          <w:sz w:val="24"/>
        </w:rPr>
      </w:pPr>
    </w:p>
    <w:p w14:paraId="17DB53DE">
      <w:pPr>
        <w:numPr>
          <w:ilvl w:val="0"/>
          <w:numId w:val="8"/>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认真做好有关被担保企业的文件归档管理工作;  </w:t>
      </w:r>
    </w:p>
    <w:p w14:paraId="789F3B33">
      <w:pPr>
        <w:tabs>
          <w:tab w:val="left" w:pos="1440"/>
          <w:tab w:val="left" w:pos="1980"/>
        </w:tabs>
        <w:spacing w:line="293" w:lineRule="auto"/>
        <w:rPr>
          <w:rFonts w:cs="Arial" w:asciiTheme="minorEastAsia" w:hAnsiTheme="minorEastAsia" w:eastAsiaTheme="minorEastAsia"/>
          <w:sz w:val="24"/>
        </w:rPr>
      </w:pPr>
    </w:p>
    <w:p w14:paraId="0B75ADA1">
      <w:pPr>
        <w:numPr>
          <w:ilvl w:val="0"/>
          <w:numId w:val="8"/>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及时按规定向公司审计机构如实提供公司全部对外担保事项;  </w:t>
      </w:r>
    </w:p>
    <w:p w14:paraId="4AD09B23">
      <w:pPr>
        <w:tabs>
          <w:tab w:val="left" w:pos="1440"/>
          <w:tab w:val="left" w:pos="1980"/>
        </w:tabs>
        <w:spacing w:line="293" w:lineRule="auto"/>
        <w:rPr>
          <w:rFonts w:cs="Arial" w:asciiTheme="minorEastAsia" w:hAnsiTheme="minorEastAsia" w:eastAsiaTheme="minorEastAsia"/>
          <w:sz w:val="24"/>
        </w:rPr>
      </w:pPr>
    </w:p>
    <w:p w14:paraId="4745BC7E">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(六)</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办理与担保有关的其他事宜。 </w:t>
      </w:r>
    </w:p>
    <w:p w14:paraId="368E3A3C">
      <w:pPr>
        <w:tabs>
          <w:tab w:val="left" w:pos="1440"/>
          <w:tab w:val="left" w:pos="1980"/>
        </w:tabs>
        <w:spacing w:line="293" w:lineRule="auto"/>
        <w:rPr>
          <w:rFonts w:cs="Arial" w:asciiTheme="minorEastAsia" w:hAnsiTheme="minorEastAsia" w:eastAsiaTheme="minorEastAsia"/>
          <w:sz w:val="24"/>
        </w:rPr>
      </w:pPr>
    </w:p>
    <w:p w14:paraId="405C8A60">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三</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对外担保过程中, </w:t>
      </w:r>
      <w:r>
        <w:rPr>
          <w:rFonts w:hint="eastAsia" w:cs="Arial" w:asciiTheme="minorEastAsia" w:hAnsiTheme="minorEastAsia" w:eastAsiaTheme="minorEastAsia"/>
          <w:sz w:val="24"/>
        </w:rPr>
        <w:t>公司行政部</w:t>
      </w:r>
      <w:r>
        <w:rPr>
          <w:rFonts w:cs="Arial" w:asciiTheme="minorEastAsia" w:hAnsiTheme="minorEastAsia" w:eastAsiaTheme="minorEastAsia"/>
          <w:sz w:val="24"/>
        </w:rPr>
        <w:t xml:space="preserve">的主要职责如下:  </w:t>
      </w:r>
    </w:p>
    <w:p w14:paraId="31AAD8F3">
      <w:pPr>
        <w:tabs>
          <w:tab w:val="left" w:pos="1440"/>
          <w:tab w:val="left" w:pos="1980"/>
        </w:tabs>
        <w:spacing w:line="293" w:lineRule="auto"/>
        <w:rPr>
          <w:rFonts w:cs="Arial" w:asciiTheme="minorEastAsia" w:hAnsiTheme="minorEastAsia" w:eastAsiaTheme="minorEastAsia"/>
          <w:sz w:val="24"/>
        </w:rPr>
      </w:pPr>
    </w:p>
    <w:p w14:paraId="035EE9D0">
      <w:pPr>
        <w:numPr>
          <w:ilvl w:val="0"/>
          <w:numId w:val="9"/>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协同财务部门做好被担保单位的资信调查, 评估工作;  </w:t>
      </w:r>
    </w:p>
    <w:p w14:paraId="392EDFDA">
      <w:pPr>
        <w:tabs>
          <w:tab w:val="left" w:pos="1440"/>
          <w:tab w:val="left" w:pos="1980"/>
        </w:tabs>
        <w:spacing w:line="293" w:lineRule="auto"/>
        <w:ind w:left="1978"/>
        <w:rPr>
          <w:rFonts w:cs="Arial" w:asciiTheme="minorEastAsia" w:hAnsiTheme="minorEastAsia" w:eastAsiaTheme="minorEastAsia"/>
          <w:sz w:val="24"/>
        </w:rPr>
      </w:pPr>
    </w:p>
    <w:p w14:paraId="3B2FE295">
      <w:pPr>
        <w:numPr>
          <w:ilvl w:val="0"/>
          <w:numId w:val="9"/>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负责起草或在法律上审查与担保有关的一切文件;  </w:t>
      </w:r>
    </w:p>
    <w:p w14:paraId="2B301B2B">
      <w:pPr>
        <w:tabs>
          <w:tab w:val="left" w:pos="1440"/>
          <w:tab w:val="left" w:pos="1980"/>
        </w:tabs>
        <w:spacing w:line="293" w:lineRule="auto"/>
        <w:rPr>
          <w:rFonts w:cs="Arial" w:asciiTheme="minorEastAsia" w:hAnsiTheme="minorEastAsia" w:eastAsiaTheme="minorEastAsia"/>
          <w:sz w:val="24"/>
        </w:rPr>
      </w:pPr>
    </w:p>
    <w:p w14:paraId="328061AF">
      <w:pPr>
        <w:numPr>
          <w:ilvl w:val="0"/>
          <w:numId w:val="9"/>
        </w:num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负责处理与对外担保有关的法律纠纷;  </w:t>
      </w:r>
    </w:p>
    <w:p w14:paraId="6207EA84">
      <w:pPr>
        <w:tabs>
          <w:tab w:val="left" w:pos="1440"/>
          <w:tab w:val="left" w:pos="1980"/>
        </w:tabs>
        <w:spacing w:line="293" w:lineRule="auto"/>
        <w:rPr>
          <w:rFonts w:cs="Arial" w:asciiTheme="minorEastAsia" w:hAnsiTheme="minorEastAsia" w:eastAsiaTheme="minorEastAsia"/>
          <w:sz w:val="24"/>
        </w:rPr>
      </w:pPr>
    </w:p>
    <w:p w14:paraId="7719AD28">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(四)</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公司承担担保责任后, 负责处理对被担保单位的追偿事宜; </w:t>
      </w:r>
    </w:p>
    <w:p w14:paraId="11086E27">
      <w:pPr>
        <w:tabs>
          <w:tab w:val="left" w:pos="1440"/>
          <w:tab w:val="left" w:pos="1980"/>
        </w:tabs>
        <w:spacing w:line="293" w:lineRule="auto"/>
        <w:rPr>
          <w:rFonts w:cs="Arial" w:asciiTheme="minorEastAsia" w:hAnsiTheme="minorEastAsia" w:eastAsiaTheme="minorEastAsia"/>
          <w:sz w:val="24"/>
        </w:rPr>
      </w:pPr>
      <w:r>
        <w:rPr>
          <w:rFonts w:cs="Arial" w:asciiTheme="minorEastAsia" w:hAnsiTheme="minorEastAsia" w:eastAsiaTheme="minorEastAsia"/>
          <w:sz w:val="24"/>
        </w:rPr>
        <w:t xml:space="preserve"> </w:t>
      </w:r>
    </w:p>
    <w:p w14:paraId="7BE79D9B">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(五)</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办理与担保有关的其他事宜。 </w:t>
      </w:r>
    </w:p>
    <w:p w14:paraId="6EE1705B">
      <w:pPr>
        <w:tabs>
          <w:tab w:val="left" w:pos="1440"/>
          <w:tab w:val="left" w:pos="1980"/>
        </w:tabs>
        <w:spacing w:line="293" w:lineRule="auto"/>
        <w:rPr>
          <w:rFonts w:cs="Arial" w:asciiTheme="minorEastAsia" w:hAnsiTheme="minorEastAsia" w:eastAsiaTheme="minorEastAsia"/>
          <w:sz w:val="24"/>
        </w:rPr>
      </w:pPr>
    </w:p>
    <w:p w14:paraId="07491E39">
      <w:pPr>
        <w:tabs>
          <w:tab w:val="left" w:pos="158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四</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公司应妥善管理担保合同及相关原始资料, 及时进行清理检查, 并定期与银行等相关机构进行核对, 保证存档资料的完整、准确、有效, 注意担保的时效期限。 </w:t>
      </w:r>
    </w:p>
    <w:p w14:paraId="365333C8">
      <w:pPr>
        <w:tabs>
          <w:tab w:val="left" w:pos="1440"/>
          <w:tab w:val="left" w:pos="1980"/>
        </w:tabs>
        <w:spacing w:line="293" w:lineRule="auto"/>
        <w:rPr>
          <w:rFonts w:cs="Arial" w:asciiTheme="minorEastAsia" w:hAnsiTheme="minorEastAsia" w:eastAsiaTheme="minorEastAsia"/>
          <w:sz w:val="24"/>
        </w:rPr>
      </w:pPr>
    </w:p>
    <w:p w14:paraId="044178C7">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在合同管理过程中, 一旦发现未经董事会或股东会审议程序批准的异常合同, 应及时向董事会和</w:t>
      </w:r>
      <w:r>
        <w:rPr>
          <w:rFonts w:hint="eastAsia" w:cs="Arial" w:asciiTheme="minorEastAsia" w:hAnsiTheme="minorEastAsia" w:eastAsiaTheme="minorEastAsia"/>
          <w:sz w:val="24"/>
        </w:rPr>
        <w:t>审计委员会</w:t>
      </w:r>
      <w:r>
        <w:rPr>
          <w:rFonts w:cs="Arial" w:asciiTheme="minorEastAsia" w:hAnsiTheme="minorEastAsia" w:eastAsiaTheme="minorEastAsia"/>
          <w:sz w:val="24"/>
        </w:rPr>
        <w:t xml:space="preserve">报告。 </w:t>
      </w:r>
    </w:p>
    <w:p w14:paraId="19013398">
      <w:pPr>
        <w:tabs>
          <w:tab w:val="left" w:pos="1440"/>
          <w:tab w:val="left" w:pos="1980"/>
        </w:tabs>
        <w:spacing w:line="293" w:lineRule="auto"/>
        <w:rPr>
          <w:rFonts w:cs="Arial" w:asciiTheme="minorEastAsia" w:hAnsiTheme="minorEastAsia" w:eastAsiaTheme="minorEastAsia"/>
          <w:sz w:val="24"/>
        </w:rPr>
      </w:pPr>
    </w:p>
    <w:p w14:paraId="4E85AF42">
      <w:pPr>
        <w:tabs>
          <w:tab w:val="left" w:pos="1568"/>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五</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公司应指派专人持续关注被担保人的情况, 收集被担保人最近一期的财务资料和审计报告, 定期分析其财务状况及偿债能力, 关注其生产经营、资产负债、对外担保以及分立合并、法定代表人变化等情况。 </w:t>
      </w:r>
    </w:p>
    <w:p w14:paraId="3F9ECD7A">
      <w:pPr>
        <w:tabs>
          <w:tab w:val="left" w:pos="1440"/>
          <w:tab w:val="left" w:pos="1980"/>
        </w:tabs>
        <w:spacing w:line="293" w:lineRule="auto"/>
        <w:rPr>
          <w:rFonts w:cs="Arial" w:asciiTheme="minorEastAsia" w:hAnsiTheme="minorEastAsia" w:eastAsiaTheme="minorEastAsia"/>
          <w:sz w:val="24"/>
        </w:rPr>
      </w:pPr>
    </w:p>
    <w:p w14:paraId="2CE63C8B">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 xml:space="preserve">如发现被担保人经营状况严重恶化或发生公司解散、分立等重大事项的, 有关责任人应及时报告董事会。董事会有义务采取有效措施, 将损失降低到最小程度。 </w:t>
      </w:r>
    </w:p>
    <w:p w14:paraId="2B8729C7">
      <w:pPr>
        <w:tabs>
          <w:tab w:val="left" w:pos="1440"/>
          <w:tab w:val="left" w:pos="1980"/>
        </w:tabs>
        <w:spacing w:line="293" w:lineRule="auto"/>
        <w:rPr>
          <w:rFonts w:cs="Arial" w:asciiTheme="minorEastAsia" w:hAnsiTheme="minorEastAsia" w:eastAsiaTheme="minorEastAsia"/>
          <w:sz w:val="24"/>
        </w:rPr>
      </w:pPr>
    </w:p>
    <w:p w14:paraId="0824BA8F">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六</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公司为他人提供担保, 当出现被担保人在债务到期后未能及时履行还款义务, 或是被担保人破产、清算、债权人主张公司履行担保义务等情况时, 公司经办部门应及时了解被担保人债务偿还情况, 并在知悉后准备启动反担保追偿程序, 同时通报董事会秘书, 由董事会秘书立即报公司董事会。 </w:t>
      </w:r>
    </w:p>
    <w:p w14:paraId="04E16758">
      <w:pPr>
        <w:tabs>
          <w:tab w:val="left" w:pos="1440"/>
          <w:tab w:val="left" w:pos="1980"/>
        </w:tabs>
        <w:spacing w:line="293" w:lineRule="auto"/>
        <w:rPr>
          <w:rFonts w:cs="Arial" w:asciiTheme="minorEastAsia" w:hAnsiTheme="minorEastAsia" w:eastAsiaTheme="minorEastAsia"/>
          <w:sz w:val="24"/>
        </w:rPr>
      </w:pPr>
    </w:p>
    <w:p w14:paraId="2A1562F4">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七</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被担保人不能履约, 担保债权人对公司主张承担担保责任时, 公司经办部门应立即启动反担保追偿程序, 同时通报董事会秘书, 由董事会秘书立即报公司董事会。 </w:t>
      </w:r>
    </w:p>
    <w:p w14:paraId="21E65424">
      <w:pPr>
        <w:tabs>
          <w:tab w:val="left" w:pos="1440"/>
          <w:tab w:val="left" w:pos="1980"/>
        </w:tabs>
        <w:spacing w:line="293" w:lineRule="auto"/>
        <w:rPr>
          <w:rFonts w:cs="Arial" w:asciiTheme="minorEastAsia" w:hAnsiTheme="minorEastAsia" w:eastAsiaTheme="minorEastAsia"/>
          <w:sz w:val="24"/>
        </w:rPr>
      </w:pPr>
    </w:p>
    <w:p w14:paraId="75F727C8">
      <w:pPr>
        <w:tabs>
          <w:tab w:val="left" w:pos="1554"/>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第三十</w:t>
      </w:r>
      <w:r>
        <w:rPr>
          <w:rFonts w:hint="eastAsia" w:cs="Arial" w:asciiTheme="minorEastAsia" w:hAnsiTheme="minorEastAsia" w:eastAsiaTheme="minorEastAsia"/>
          <w:sz w:val="24"/>
        </w:rPr>
        <w:t>八</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公司为债务人履行担保义务后, 应当采取有效措施向债务人追偿, 公司经办部门应将追偿情况同时通报董事会秘书, 由董事会秘书立即报公司董事会。 </w:t>
      </w:r>
    </w:p>
    <w:p w14:paraId="2274AFB3">
      <w:pPr>
        <w:tabs>
          <w:tab w:val="left" w:pos="1440"/>
          <w:tab w:val="left" w:pos="1980"/>
        </w:tabs>
        <w:spacing w:line="293" w:lineRule="auto"/>
        <w:rPr>
          <w:rFonts w:cs="Arial" w:asciiTheme="minorEastAsia" w:hAnsiTheme="minorEastAsia" w:eastAsiaTheme="minorEastAsia"/>
          <w:sz w:val="24"/>
        </w:rPr>
      </w:pPr>
    </w:p>
    <w:p w14:paraId="4B055C03">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三十九</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公司发现有证据证明被担保人丧失或可能丧失履行债务能力时, 应及时采取必要措施, 有效控制风险; 若发现债权人与债务人恶意串通, 损害公司利益的, 应立即采取请求确认担保合同无效等措施; 由于被担保人违约而造成经济损失的, 应及时向被担保人进行追偿。 </w:t>
      </w:r>
    </w:p>
    <w:p w14:paraId="29C720E6">
      <w:pPr>
        <w:tabs>
          <w:tab w:val="left" w:pos="1440"/>
          <w:tab w:val="left" w:pos="1980"/>
        </w:tabs>
        <w:spacing w:line="293" w:lineRule="auto"/>
        <w:rPr>
          <w:rFonts w:cs="Arial" w:asciiTheme="minorEastAsia" w:hAnsiTheme="minorEastAsia" w:eastAsiaTheme="minorEastAsia"/>
          <w:sz w:val="24"/>
        </w:rPr>
      </w:pPr>
    </w:p>
    <w:p w14:paraId="4DBDA71C">
      <w:pPr>
        <w:tabs>
          <w:tab w:val="left" w:pos="1568"/>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四十</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财务部门和</w:t>
      </w:r>
      <w:r>
        <w:rPr>
          <w:rFonts w:hint="eastAsia" w:cs="Arial" w:asciiTheme="minorEastAsia" w:hAnsiTheme="minorEastAsia" w:eastAsiaTheme="minorEastAsia"/>
          <w:sz w:val="24"/>
        </w:rPr>
        <w:t>公司行政部</w:t>
      </w:r>
      <w:r>
        <w:rPr>
          <w:rFonts w:cs="Arial" w:asciiTheme="minorEastAsia" w:hAnsiTheme="minorEastAsia" w:eastAsiaTheme="minorEastAsia"/>
          <w:sz w:val="24"/>
        </w:rPr>
        <w:t xml:space="preserve">应根据可能出现的其他风险, 采取有效措施, 提出相应处理办法报分管领导审定后, 根据情况提交公司董事会。 </w:t>
      </w:r>
    </w:p>
    <w:p w14:paraId="3F0176F4">
      <w:pPr>
        <w:tabs>
          <w:tab w:val="left" w:pos="1440"/>
          <w:tab w:val="left" w:pos="1980"/>
        </w:tabs>
        <w:spacing w:line="293" w:lineRule="auto"/>
        <w:rPr>
          <w:rFonts w:cs="Arial" w:asciiTheme="minorEastAsia" w:hAnsiTheme="minorEastAsia" w:eastAsiaTheme="minorEastAsia"/>
          <w:sz w:val="24"/>
        </w:rPr>
      </w:pPr>
    </w:p>
    <w:p w14:paraId="2180CF8C">
      <w:pPr>
        <w:tabs>
          <w:tab w:val="left" w:pos="1554"/>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四十一</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公司作为保证人, 同一债务有两个以上保证人且约定按份额承担保证责任的, 应当拒绝承担超出公司约定份额外的保证责任。 </w:t>
      </w:r>
    </w:p>
    <w:p w14:paraId="2D13CE5C">
      <w:pPr>
        <w:tabs>
          <w:tab w:val="left" w:pos="1440"/>
          <w:tab w:val="left" w:pos="1980"/>
        </w:tabs>
        <w:spacing w:line="293" w:lineRule="auto"/>
        <w:rPr>
          <w:rFonts w:cs="Arial" w:asciiTheme="minorEastAsia" w:hAnsiTheme="minorEastAsia" w:eastAsiaTheme="minorEastAsia"/>
          <w:sz w:val="24"/>
        </w:rPr>
      </w:pPr>
    </w:p>
    <w:p w14:paraId="3A81DBBA">
      <w:pPr>
        <w:tabs>
          <w:tab w:val="left" w:pos="159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四十二</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人民法院受理债务人破产案件后, 债权人未申报债权, 经办责任人、财务部门、</w:t>
      </w:r>
      <w:r>
        <w:rPr>
          <w:rFonts w:hint="eastAsia" w:cs="Arial" w:asciiTheme="minorEastAsia" w:hAnsiTheme="minorEastAsia" w:eastAsiaTheme="minorEastAsia"/>
          <w:sz w:val="24"/>
        </w:rPr>
        <w:t>公司行政部</w:t>
      </w:r>
      <w:r>
        <w:rPr>
          <w:rFonts w:cs="Arial" w:asciiTheme="minorEastAsia" w:hAnsiTheme="minorEastAsia" w:eastAsiaTheme="minorEastAsia"/>
          <w:sz w:val="24"/>
        </w:rPr>
        <w:t xml:space="preserve">应当提请公司参加破产财产分配, 预先行使追偿权。 </w:t>
      </w:r>
    </w:p>
    <w:p w14:paraId="4939F86B">
      <w:pPr>
        <w:tabs>
          <w:tab w:val="left" w:pos="1440"/>
          <w:tab w:val="left" w:pos="1980"/>
        </w:tabs>
        <w:spacing w:line="293" w:lineRule="auto"/>
        <w:rPr>
          <w:rFonts w:cs="Arial" w:asciiTheme="minorEastAsia" w:hAnsiTheme="minorEastAsia" w:eastAsiaTheme="minorEastAsia"/>
          <w:sz w:val="24"/>
        </w:rPr>
      </w:pPr>
    </w:p>
    <w:p w14:paraId="45F9D428">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对外担保信息披露</w:t>
      </w:r>
    </w:p>
    <w:p w14:paraId="31130E08">
      <w:pPr>
        <w:tabs>
          <w:tab w:val="left" w:pos="1440"/>
          <w:tab w:val="left" w:pos="1980"/>
        </w:tabs>
        <w:spacing w:line="293" w:lineRule="auto"/>
        <w:rPr>
          <w:rFonts w:cs="Arial" w:asciiTheme="minorEastAsia" w:hAnsiTheme="minorEastAsia" w:eastAsiaTheme="minorEastAsia"/>
          <w:sz w:val="24"/>
        </w:rPr>
      </w:pPr>
    </w:p>
    <w:p w14:paraId="51E4319C">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三</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公司应当按照有关规定, 认真履行对外担保情况的信息披露义务。 </w:t>
      </w:r>
    </w:p>
    <w:p w14:paraId="31230071">
      <w:pPr>
        <w:tabs>
          <w:tab w:val="left" w:pos="1440"/>
          <w:tab w:val="left" w:pos="1980"/>
        </w:tabs>
        <w:spacing w:line="293" w:lineRule="auto"/>
        <w:rPr>
          <w:rFonts w:cs="Arial" w:asciiTheme="minorEastAsia" w:hAnsiTheme="minorEastAsia" w:eastAsiaTheme="minorEastAsia"/>
          <w:sz w:val="24"/>
        </w:rPr>
      </w:pPr>
    </w:p>
    <w:p w14:paraId="4A05CCFD">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四</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参与公司对外担保事宜的任何部门和责任人, 均有责任及时将对外担保的情况向公司董事会秘书处作出通报, 并提供信息披露所需的文件资料。 </w:t>
      </w:r>
    </w:p>
    <w:p w14:paraId="04310158">
      <w:pPr>
        <w:tabs>
          <w:tab w:val="left" w:pos="1440"/>
          <w:tab w:val="left" w:pos="1980"/>
        </w:tabs>
        <w:spacing w:line="293" w:lineRule="auto"/>
        <w:rPr>
          <w:rFonts w:cs="Arial" w:asciiTheme="minorEastAsia" w:hAnsiTheme="minorEastAsia" w:eastAsiaTheme="minorEastAsia"/>
          <w:sz w:val="24"/>
        </w:rPr>
      </w:pPr>
    </w:p>
    <w:p w14:paraId="710EF6CB">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五</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披露的内容包括但不限于董事会或股东会决议、截止信息披露日公司及其控股子公司对外担保总额、公司对控股子公司提供担保的总额、上述数额分别占公司最近一期经审计净资产的比例。 </w:t>
      </w:r>
    </w:p>
    <w:p w14:paraId="0BEEE01D">
      <w:pPr>
        <w:tabs>
          <w:tab w:val="left" w:pos="1440"/>
          <w:tab w:val="left" w:pos="1980"/>
        </w:tabs>
        <w:spacing w:line="293" w:lineRule="auto"/>
        <w:rPr>
          <w:rFonts w:cs="Arial" w:asciiTheme="minorEastAsia" w:hAnsiTheme="minorEastAsia" w:eastAsiaTheme="minorEastAsia"/>
          <w:sz w:val="24"/>
        </w:rPr>
      </w:pPr>
    </w:p>
    <w:p w14:paraId="1D95164A">
      <w:pPr>
        <w:tabs>
          <w:tab w:val="left" w:pos="1440"/>
          <w:tab w:val="left" w:pos="1980"/>
        </w:tabs>
        <w:spacing w:line="293" w:lineRule="auto"/>
        <w:ind w:left="1438" w:leftChars="685"/>
        <w:rPr>
          <w:rFonts w:cs="Arial" w:asciiTheme="minorEastAsia" w:hAnsiTheme="minorEastAsia" w:eastAsiaTheme="minorEastAsia"/>
          <w:sz w:val="24"/>
        </w:rPr>
      </w:pPr>
      <w:r>
        <w:rPr>
          <w:rFonts w:cs="Arial" w:asciiTheme="minorEastAsia" w:hAnsiTheme="minorEastAsia" w:eastAsiaTheme="minorEastAsia"/>
          <w:sz w:val="24"/>
        </w:rPr>
        <w:t xml:space="preserve">如果被担保人于债务到期后十五个交易日内未履行还款义务, 或者被担保人出现破产、清算或其他严重影响其还款能力的情形, 公司应当及时予以披露。 </w:t>
      </w:r>
    </w:p>
    <w:p w14:paraId="25530C06">
      <w:pPr>
        <w:tabs>
          <w:tab w:val="left" w:pos="1440"/>
          <w:tab w:val="left" w:pos="1980"/>
        </w:tabs>
        <w:spacing w:line="293" w:lineRule="auto"/>
        <w:ind w:left="1438" w:leftChars="685"/>
        <w:rPr>
          <w:rFonts w:cs="Arial" w:asciiTheme="minorEastAsia" w:hAnsiTheme="minorEastAsia" w:eastAsiaTheme="minorEastAsia"/>
          <w:sz w:val="24"/>
        </w:rPr>
      </w:pPr>
    </w:p>
    <w:p w14:paraId="3591E5F0">
      <w:pPr>
        <w:tabs>
          <w:tab w:val="left" w:pos="1440"/>
          <w:tab w:val="left" w:pos="1980"/>
        </w:tabs>
        <w:spacing w:line="293" w:lineRule="auto"/>
        <w:ind w:left="1438" w:leftChars="685"/>
        <w:rPr>
          <w:rFonts w:cs="Arial" w:asciiTheme="minorEastAsia" w:hAnsiTheme="minorEastAsia" w:eastAsiaTheme="minorEastAsia"/>
          <w:sz w:val="24"/>
        </w:rPr>
      </w:pPr>
      <w:r>
        <w:rPr>
          <w:rFonts w:hint="eastAsia" w:cs="Arial" w:asciiTheme="minorEastAsia" w:hAnsiTheme="minorEastAsia" w:eastAsiaTheme="minorEastAsia"/>
          <w:sz w:val="24"/>
        </w:rPr>
        <w:t>公司出现因交易或者关联交易导致其合并报表范围发生变更等情况的,</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若交易完成后原有担保形成对关联方提供担保的,</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应当及时就相关关联担保履行相应审议程序和披露义务。董事会或者股东会未审议通过上述关联担保事项的,</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交易各方应当采取提前终止担保或取消相关交易或者关联交易等有效措施,</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避免形成违规关联担保。</w:t>
      </w:r>
    </w:p>
    <w:p w14:paraId="6DA15C11">
      <w:pPr>
        <w:tabs>
          <w:tab w:val="left" w:pos="1440"/>
          <w:tab w:val="left" w:pos="1980"/>
        </w:tabs>
        <w:spacing w:line="293" w:lineRule="auto"/>
        <w:rPr>
          <w:rFonts w:cs="Arial" w:asciiTheme="minorEastAsia" w:hAnsiTheme="minorEastAsia" w:eastAsiaTheme="minorEastAsia"/>
          <w:sz w:val="24"/>
        </w:rPr>
      </w:pPr>
    </w:p>
    <w:p w14:paraId="7FEAB8B5">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六</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公司有关部门应采取必要措施, 在担保信息未依法公开披露前, 将信息知情者控制在最小范围内。任何依法或非法知悉公司担保信息的人员, 均负有当然的保密义务, 直至该信息依法公开披露之日, 否则将承担由此引致的法律责任。 </w:t>
      </w:r>
    </w:p>
    <w:p w14:paraId="3B56A363">
      <w:pPr>
        <w:tabs>
          <w:tab w:val="left" w:pos="1440"/>
          <w:tab w:val="left" w:pos="1980"/>
        </w:tabs>
        <w:spacing w:line="293" w:lineRule="auto"/>
        <w:rPr>
          <w:rFonts w:cs="Arial" w:asciiTheme="minorEastAsia" w:hAnsiTheme="minorEastAsia" w:eastAsiaTheme="minorEastAsia"/>
          <w:sz w:val="24"/>
        </w:rPr>
      </w:pPr>
    </w:p>
    <w:p w14:paraId="16901C04">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责任人责任</w:t>
      </w:r>
    </w:p>
    <w:p w14:paraId="5E8A29F7">
      <w:pPr>
        <w:tabs>
          <w:tab w:val="left" w:pos="1440"/>
          <w:tab w:val="left" w:pos="1980"/>
        </w:tabs>
        <w:spacing w:line="293" w:lineRule="auto"/>
        <w:rPr>
          <w:rFonts w:cs="Arial" w:asciiTheme="minorEastAsia" w:hAnsiTheme="minorEastAsia" w:eastAsiaTheme="minorEastAsia"/>
          <w:sz w:val="24"/>
        </w:rPr>
      </w:pPr>
    </w:p>
    <w:p w14:paraId="0F8B3938">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七</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公司对外提供担保, 应严格按照本制度执行。公司董事会视公司的损失、风险的大小、情节的轻重决定给予有过错的责任人相应的处分。 </w:t>
      </w:r>
    </w:p>
    <w:p w14:paraId="5FD0FEEC">
      <w:pPr>
        <w:tabs>
          <w:tab w:val="left" w:pos="1440"/>
          <w:tab w:val="left" w:pos="1980"/>
        </w:tabs>
        <w:spacing w:line="293" w:lineRule="auto"/>
        <w:rPr>
          <w:rFonts w:cs="Arial" w:asciiTheme="minorEastAsia" w:hAnsiTheme="minorEastAsia" w:eastAsiaTheme="minorEastAsia"/>
          <w:sz w:val="24"/>
        </w:rPr>
      </w:pPr>
    </w:p>
    <w:p w14:paraId="2F98091F">
      <w:pPr>
        <w:tabs>
          <w:tab w:val="left" w:pos="1526"/>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第四十</w:t>
      </w:r>
      <w:r>
        <w:rPr>
          <w:rFonts w:hint="eastAsia" w:cs="Arial" w:asciiTheme="minorEastAsia" w:hAnsiTheme="minorEastAsia" w:eastAsiaTheme="minorEastAsia"/>
          <w:sz w:val="24"/>
        </w:rPr>
        <w:t>八</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公司董事, </w:t>
      </w:r>
      <w:r>
        <w:rPr>
          <w:rFonts w:hint="eastAsia" w:cs="Arial" w:asciiTheme="minorEastAsia" w:hAnsiTheme="minorEastAsia" w:eastAsiaTheme="minorEastAsia"/>
          <w:sz w:val="24"/>
        </w:rPr>
        <w:t>总经理</w:t>
      </w:r>
      <w:r>
        <w:rPr>
          <w:rFonts w:cs="Arial" w:asciiTheme="minorEastAsia" w:hAnsiTheme="minorEastAsia" w:eastAsiaTheme="minorEastAsia"/>
          <w:sz w:val="24"/>
        </w:rPr>
        <w:t xml:space="preserve">或其他高级管理人员未按本制度规定程序擅自越权签订担保合同, 应当追究当事人责任。 </w:t>
      </w:r>
    </w:p>
    <w:p w14:paraId="7CCB57D3">
      <w:pPr>
        <w:tabs>
          <w:tab w:val="left" w:pos="1440"/>
          <w:tab w:val="left" w:pos="1980"/>
        </w:tabs>
        <w:spacing w:line="293" w:lineRule="auto"/>
        <w:rPr>
          <w:rFonts w:cs="Arial" w:asciiTheme="minorEastAsia" w:hAnsiTheme="minorEastAsia" w:eastAsiaTheme="minorEastAsia"/>
          <w:sz w:val="24"/>
        </w:rPr>
      </w:pPr>
    </w:p>
    <w:p w14:paraId="33C888B4">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四十九</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公司经办部门人员或其他责任人违反法律规定或本制度规定, 无视风险擅自提供担保造成损失的, 应承担赔偿责任。 </w:t>
      </w:r>
    </w:p>
    <w:p w14:paraId="36B70F40">
      <w:pPr>
        <w:tabs>
          <w:tab w:val="left" w:pos="1440"/>
          <w:tab w:val="left" w:pos="1980"/>
        </w:tabs>
        <w:spacing w:line="293" w:lineRule="auto"/>
        <w:rPr>
          <w:rFonts w:cs="Arial" w:asciiTheme="minorEastAsia" w:hAnsiTheme="minorEastAsia" w:eastAsiaTheme="minorEastAsia"/>
          <w:sz w:val="24"/>
        </w:rPr>
      </w:pPr>
    </w:p>
    <w:p w14:paraId="14F73A9E">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五十</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公司经办部门人员或其他责任人怠于行使其职责, 给公司造成损失的, 视情节轻重给予经济处罚或行政处分。 </w:t>
      </w:r>
    </w:p>
    <w:p w14:paraId="7AD59CA7">
      <w:pPr>
        <w:tabs>
          <w:tab w:val="left" w:pos="1440"/>
          <w:tab w:val="left" w:pos="1980"/>
        </w:tabs>
        <w:spacing w:line="293" w:lineRule="auto"/>
        <w:rPr>
          <w:rFonts w:cs="Arial" w:asciiTheme="minorEastAsia" w:hAnsiTheme="minorEastAsia" w:eastAsiaTheme="minorEastAsia"/>
          <w:sz w:val="24"/>
        </w:rPr>
      </w:pPr>
    </w:p>
    <w:p w14:paraId="63809954">
      <w:pPr>
        <w:tabs>
          <w:tab w:val="left" w:pos="1512"/>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五十一</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法律规定保证人无须承担的责任, 公司经办部门人员或其他责任人擅自决定而使公司承担责任造成损失的, 公司给予其行政处分并由其承担赔偿责任。</w:t>
      </w:r>
    </w:p>
    <w:p w14:paraId="3B354E22">
      <w:pPr>
        <w:tabs>
          <w:tab w:val="left" w:pos="1440"/>
          <w:tab w:val="left" w:pos="1980"/>
        </w:tabs>
        <w:spacing w:line="293" w:lineRule="auto"/>
        <w:jc w:val="center"/>
        <w:rPr>
          <w:rFonts w:cs="Arial" w:asciiTheme="minorEastAsia" w:hAnsiTheme="minorEastAsia" w:eastAsiaTheme="minorEastAsia"/>
          <w:sz w:val="24"/>
        </w:rPr>
      </w:pPr>
    </w:p>
    <w:p w14:paraId="62341212">
      <w:pPr>
        <w:numPr>
          <w:ilvl w:val="0"/>
          <w:numId w:val="1"/>
        </w:numPr>
        <w:tabs>
          <w:tab w:val="left" w:pos="1440"/>
          <w:tab w:val="left" w:pos="1980"/>
        </w:tabs>
        <w:spacing w:line="293" w:lineRule="auto"/>
        <w:jc w:val="center"/>
        <w:rPr>
          <w:rFonts w:cs="Arial" w:asciiTheme="minorEastAsia" w:hAnsiTheme="minorEastAsia" w:eastAsiaTheme="minorEastAsia"/>
          <w:b/>
          <w:sz w:val="24"/>
        </w:rPr>
      </w:pPr>
      <w:r>
        <w:rPr>
          <w:rFonts w:cs="Arial" w:asciiTheme="minorEastAsia" w:hAnsiTheme="minorEastAsia" w:eastAsiaTheme="minorEastAsia"/>
          <w:b/>
          <w:sz w:val="24"/>
        </w:rPr>
        <w:t>附则</w:t>
      </w:r>
    </w:p>
    <w:p w14:paraId="0FF13935">
      <w:pPr>
        <w:tabs>
          <w:tab w:val="left" w:pos="1440"/>
          <w:tab w:val="left" w:pos="1980"/>
        </w:tabs>
        <w:spacing w:line="293" w:lineRule="auto"/>
        <w:jc w:val="center"/>
        <w:rPr>
          <w:rFonts w:cs="Arial" w:asciiTheme="minorEastAsia" w:hAnsiTheme="minorEastAsia" w:eastAsiaTheme="minorEastAsia"/>
          <w:sz w:val="24"/>
        </w:rPr>
      </w:pPr>
    </w:p>
    <w:p w14:paraId="38C9FF89">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w:t>
      </w:r>
      <w:r>
        <w:rPr>
          <w:rFonts w:hint="eastAsia" w:cs="Arial" w:asciiTheme="minorEastAsia" w:hAnsiTheme="minorEastAsia" w:eastAsiaTheme="minorEastAsia"/>
          <w:sz w:val="24"/>
        </w:rPr>
        <w:t>五十二</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本制度所称“以上”含本数。 </w:t>
      </w:r>
    </w:p>
    <w:p w14:paraId="065D8568">
      <w:pPr>
        <w:tabs>
          <w:tab w:val="left" w:pos="1440"/>
          <w:tab w:val="left" w:pos="1980"/>
        </w:tabs>
        <w:spacing w:line="293" w:lineRule="auto"/>
        <w:rPr>
          <w:rFonts w:cs="Arial" w:asciiTheme="minorEastAsia" w:hAnsiTheme="minorEastAsia" w:eastAsiaTheme="minorEastAsia"/>
          <w:sz w:val="24"/>
        </w:rPr>
      </w:pPr>
    </w:p>
    <w:p w14:paraId="358CF207">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第五十</w:t>
      </w:r>
      <w:r>
        <w:rPr>
          <w:rFonts w:hint="eastAsia" w:cs="Arial" w:asciiTheme="minorEastAsia" w:hAnsiTheme="minorEastAsia" w:eastAsiaTheme="minorEastAsia"/>
          <w:sz w:val="24"/>
        </w:rPr>
        <w:t>三</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本制度经</w:t>
      </w:r>
      <w:r>
        <w:rPr>
          <w:rFonts w:hint="eastAsia" w:cs="Arial" w:asciiTheme="minorEastAsia" w:hAnsiTheme="minorEastAsia" w:eastAsiaTheme="minorEastAsia"/>
          <w:sz w:val="24"/>
        </w:rPr>
        <w:t>公司股东会批准后生效</w:t>
      </w:r>
      <w:r>
        <w:rPr>
          <w:rFonts w:cs="Arial" w:asciiTheme="minorEastAsia" w:hAnsiTheme="minorEastAsia" w:eastAsiaTheme="minorEastAsia"/>
          <w:sz w:val="24"/>
        </w:rPr>
        <w:t xml:space="preserve">。 </w:t>
      </w:r>
    </w:p>
    <w:p w14:paraId="1816CCF7">
      <w:pPr>
        <w:tabs>
          <w:tab w:val="left" w:pos="1440"/>
          <w:tab w:val="left" w:pos="1980"/>
        </w:tabs>
        <w:spacing w:line="293" w:lineRule="auto"/>
        <w:rPr>
          <w:rFonts w:cs="Arial" w:asciiTheme="minorEastAsia" w:hAnsiTheme="minorEastAsia" w:eastAsiaTheme="minorEastAsia"/>
          <w:sz w:val="24"/>
        </w:rPr>
      </w:pPr>
    </w:p>
    <w:p w14:paraId="4B6556AA">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第五十</w:t>
      </w:r>
      <w:r>
        <w:rPr>
          <w:rFonts w:hint="eastAsia" w:cs="Arial" w:asciiTheme="minorEastAsia" w:hAnsiTheme="minorEastAsia" w:eastAsiaTheme="minorEastAsia"/>
          <w:sz w:val="24"/>
        </w:rPr>
        <w:t>四</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本制度未尽事宜,</w:t>
      </w:r>
      <w:r>
        <w:rPr>
          <w:rFonts w:hint="eastAsia" w:cs="Arial" w:asciiTheme="minorEastAsia" w:hAnsiTheme="minorEastAsia" w:eastAsiaTheme="minorEastAsia"/>
          <w:sz w:val="24"/>
        </w:rPr>
        <w:t xml:space="preserve"> </w:t>
      </w:r>
      <w:r>
        <w:rPr>
          <w:rFonts w:cs="Arial" w:asciiTheme="minorEastAsia" w:hAnsiTheme="minorEastAsia" w:eastAsiaTheme="minorEastAsia"/>
          <w:sz w:val="24"/>
        </w:rPr>
        <w:t xml:space="preserve">按照有关法律、法规、规范性文件和公司章程的规定执行; 如本工作细则内容与法律、法规、规范性文件或公司章程相抵触时, 以法律、法规、规范性文件和公司章程的规定为准。 </w:t>
      </w:r>
    </w:p>
    <w:p w14:paraId="657520C9">
      <w:pPr>
        <w:tabs>
          <w:tab w:val="left" w:pos="1440"/>
          <w:tab w:val="left" w:pos="1980"/>
        </w:tabs>
        <w:spacing w:line="293" w:lineRule="auto"/>
        <w:rPr>
          <w:rFonts w:cs="Arial" w:asciiTheme="minorEastAsia" w:hAnsiTheme="minorEastAsia" w:eastAsiaTheme="minorEastAsia"/>
          <w:sz w:val="24"/>
        </w:rPr>
      </w:pPr>
    </w:p>
    <w:p w14:paraId="641FF8D1">
      <w:pPr>
        <w:tabs>
          <w:tab w:val="left" w:pos="1440"/>
          <w:tab w:val="left" w:pos="1980"/>
        </w:tabs>
        <w:spacing w:line="293" w:lineRule="auto"/>
        <w:ind w:left="1502" w:hanging="1502" w:hangingChars="626"/>
        <w:rPr>
          <w:rFonts w:cs="Arial" w:asciiTheme="minorEastAsia" w:hAnsiTheme="minorEastAsia" w:eastAsiaTheme="minorEastAsia"/>
          <w:sz w:val="24"/>
        </w:rPr>
      </w:pPr>
      <w:r>
        <w:rPr>
          <w:rFonts w:cs="Arial" w:asciiTheme="minorEastAsia" w:hAnsiTheme="minorEastAsia" w:eastAsiaTheme="minorEastAsia"/>
          <w:sz w:val="24"/>
        </w:rPr>
        <w:t>第五十</w:t>
      </w:r>
      <w:r>
        <w:rPr>
          <w:rFonts w:hint="eastAsia" w:cs="Arial" w:asciiTheme="minorEastAsia" w:hAnsiTheme="minorEastAsia" w:eastAsiaTheme="minorEastAsia"/>
          <w:sz w:val="24"/>
        </w:rPr>
        <w:t>五</w:t>
      </w:r>
      <w:r>
        <w:rPr>
          <w:rFonts w:cs="Arial" w:asciiTheme="minorEastAsia" w:hAnsiTheme="minorEastAsia" w:eastAsiaTheme="minorEastAsia"/>
          <w:sz w:val="24"/>
        </w:rPr>
        <w:t xml:space="preserve">条 </w:t>
      </w:r>
      <w:r>
        <w:rPr>
          <w:rFonts w:hint="eastAsia" w:cs="Arial" w:asciiTheme="minorEastAsia" w:hAnsiTheme="minorEastAsia" w:eastAsiaTheme="minorEastAsia"/>
          <w:sz w:val="24"/>
        </w:rPr>
        <w:tab/>
      </w:r>
      <w:r>
        <w:rPr>
          <w:rFonts w:cs="Arial" w:asciiTheme="minorEastAsia" w:hAnsiTheme="minorEastAsia" w:eastAsiaTheme="minorEastAsia"/>
          <w:sz w:val="24"/>
        </w:rPr>
        <w:t xml:space="preserve">本制度由公司董事会负责解释。 </w:t>
      </w:r>
    </w:p>
    <w:p w14:paraId="1C10554F">
      <w:pPr>
        <w:spacing w:line="293" w:lineRule="auto"/>
        <w:rPr>
          <w:rFonts w:ascii="宋体" w:hAnsi="宋体"/>
          <w:sz w:val="24"/>
        </w:rPr>
      </w:pPr>
    </w:p>
    <w:p w14:paraId="5DD9F526">
      <w:pPr>
        <w:tabs>
          <w:tab w:val="left" w:pos="6120"/>
          <w:tab w:val="left" w:pos="8280"/>
        </w:tabs>
        <w:wordWrap w:val="0"/>
        <w:spacing w:line="360" w:lineRule="auto"/>
        <w:ind w:right="26" w:firstLine="4319" w:firstLineChars="1878"/>
        <w:jc w:val="right"/>
        <w:rPr>
          <w:rFonts w:ascii="Arial" w:hAnsi="Arial"/>
          <w:sz w:val="23"/>
          <w:szCs w:val="23"/>
        </w:rPr>
      </w:pPr>
    </w:p>
    <w:sectPr>
      <w:headerReference r:id="rId3" w:type="default"/>
      <w:footerReference r:id="rId4" w:type="default"/>
      <w:pgSz w:w="11906" w:h="16838"/>
      <w:pgMar w:top="1585"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6254C">
    <w:pPr>
      <w:pStyle w:val="4"/>
      <w:jc w:val="center"/>
      <w:rPr>
        <w:b/>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D4A19">
    <w:pPr>
      <w:pStyle w:val="5"/>
      <w:jc w:val="both"/>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永兴特种材料科技股份有限公司对外担保管理制度</w:t>
    </w:r>
  </w:p>
  <w:p w14:paraId="0631B357">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A0366"/>
    <w:multiLevelType w:val="multilevel"/>
    <w:tmpl w:val="010A0366"/>
    <w:lvl w:ilvl="0" w:tentative="0">
      <w:start w:val="1"/>
      <w:numFmt w:val="japaneseCounting"/>
      <w:lvlText w:val="(%1)"/>
      <w:lvlJc w:val="left"/>
      <w:pPr>
        <w:ind w:left="1978" w:hanging="540"/>
      </w:pPr>
      <w:rPr>
        <w:rFonts w:hint="default" w:hAnsi="宋体"/>
      </w:rPr>
    </w:lvl>
    <w:lvl w:ilvl="1" w:tentative="0">
      <w:start w:val="1"/>
      <w:numFmt w:val="lowerLetter"/>
      <w:lvlText w:val="%2)"/>
      <w:lvlJc w:val="left"/>
      <w:pPr>
        <w:ind w:left="2278" w:hanging="420"/>
      </w:pPr>
    </w:lvl>
    <w:lvl w:ilvl="2" w:tentative="0">
      <w:start w:val="1"/>
      <w:numFmt w:val="lowerRoman"/>
      <w:lvlText w:val="%3."/>
      <w:lvlJc w:val="right"/>
      <w:pPr>
        <w:ind w:left="2698" w:hanging="420"/>
      </w:pPr>
    </w:lvl>
    <w:lvl w:ilvl="3" w:tentative="0">
      <w:start w:val="1"/>
      <w:numFmt w:val="decimal"/>
      <w:lvlText w:val="%4."/>
      <w:lvlJc w:val="left"/>
      <w:pPr>
        <w:ind w:left="3118" w:hanging="420"/>
      </w:pPr>
    </w:lvl>
    <w:lvl w:ilvl="4" w:tentative="0">
      <w:start w:val="1"/>
      <w:numFmt w:val="lowerLetter"/>
      <w:lvlText w:val="%5)"/>
      <w:lvlJc w:val="left"/>
      <w:pPr>
        <w:ind w:left="3538" w:hanging="420"/>
      </w:pPr>
    </w:lvl>
    <w:lvl w:ilvl="5" w:tentative="0">
      <w:start w:val="1"/>
      <w:numFmt w:val="lowerRoman"/>
      <w:lvlText w:val="%6."/>
      <w:lvlJc w:val="right"/>
      <w:pPr>
        <w:ind w:left="3958" w:hanging="420"/>
      </w:pPr>
    </w:lvl>
    <w:lvl w:ilvl="6" w:tentative="0">
      <w:start w:val="1"/>
      <w:numFmt w:val="decimal"/>
      <w:lvlText w:val="%7."/>
      <w:lvlJc w:val="left"/>
      <w:pPr>
        <w:ind w:left="4378" w:hanging="420"/>
      </w:pPr>
    </w:lvl>
    <w:lvl w:ilvl="7" w:tentative="0">
      <w:start w:val="1"/>
      <w:numFmt w:val="lowerLetter"/>
      <w:lvlText w:val="%8)"/>
      <w:lvlJc w:val="left"/>
      <w:pPr>
        <w:ind w:left="4798" w:hanging="420"/>
      </w:pPr>
    </w:lvl>
    <w:lvl w:ilvl="8" w:tentative="0">
      <w:start w:val="1"/>
      <w:numFmt w:val="lowerRoman"/>
      <w:lvlText w:val="%9."/>
      <w:lvlJc w:val="right"/>
      <w:pPr>
        <w:ind w:left="5218" w:hanging="420"/>
      </w:pPr>
    </w:lvl>
  </w:abstractNum>
  <w:abstractNum w:abstractNumId="1">
    <w:nsid w:val="1D836EF0"/>
    <w:multiLevelType w:val="multilevel"/>
    <w:tmpl w:val="1D836EF0"/>
    <w:lvl w:ilvl="0" w:tentative="0">
      <w:start w:val="1"/>
      <w:numFmt w:val="japaneseCounting"/>
      <w:lvlText w:val="第%1章"/>
      <w:lvlJc w:val="left"/>
      <w:pPr>
        <w:tabs>
          <w:tab w:val="left" w:pos="795"/>
        </w:tabs>
        <w:ind w:left="795" w:hanging="7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12672BF"/>
    <w:multiLevelType w:val="multilevel"/>
    <w:tmpl w:val="212672BF"/>
    <w:lvl w:ilvl="0" w:tentative="0">
      <w:start w:val="1"/>
      <w:numFmt w:val="japaneseCounting"/>
      <w:lvlText w:val="(%1)"/>
      <w:lvlJc w:val="left"/>
      <w:pPr>
        <w:ind w:left="1978" w:hanging="540"/>
      </w:pPr>
      <w:rPr>
        <w:rFonts w:hint="default" w:hAnsi="宋体"/>
      </w:rPr>
    </w:lvl>
    <w:lvl w:ilvl="1" w:tentative="0">
      <w:start w:val="1"/>
      <w:numFmt w:val="lowerLetter"/>
      <w:lvlText w:val="%2)"/>
      <w:lvlJc w:val="left"/>
      <w:pPr>
        <w:ind w:left="2278" w:hanging="420"/>
      </w:pPr>
    </w:lvl>
    <w:lvl w:ilvl="2" w:tentative="0">
      <w:start w:val="1"/>
      <w:numFmt w:val="lowerRoman"/>
      <w:lvlText w:val="%3."/>
      <w:lvlJc w:val="right"/>
      <w:pPr>
        <w:ind w:left="2698" w:hanging="420"/>
      </w:pPr>
    </w:lvl>
    <w:lvl w:ilvl="3" w:tentative="0">
      <w:start w:val="1"/>
      <w:numFmt w:val="decimal"/>
      <w:lvlText w:val="%4."/>
      <w:lvlJc w:val="left"/>
      <w:pPr>
        <w:ind w:left="3118" w:hanging="420"/>
      </w:pPr>
    </w:lvl>
    <w:lvl w:ilvl="4" w:tentative="0">
      <w:start w:val="1"/>
      <w:numFmt w:val="lowerLetter"/>
      <w:lvlText w:val="%5)"/>
      <w:lvlJc w:val="left"/>
      <w:pPr>
        <w:ind w:left="3538" w:hanging="420"/>
      </w:pPr>
    </w:lvl>
    <w:lvl w:ilvl="5" w:tentative="0">
      <w:start w:val="1"/>
      <w:numFmt w:val="lowerRoman"/>
      <w:lvlText w:val="%6."/>
      <w:lvlJc w:val="right"/>
      <w:pPr>
        <w:ind w:left="3958" w:hanging="420"/>
      </w:pPr>
    </w:lvl>
    <w:lvl w:ilvl="6" w:tentative="0">
      <w:start w:val="1"/>
      <w:numFmt w:val="decimal"/>
      <w:lvlText w:val="%7."/>
      <w:lvlJc w:val="left"/>
      <w:pPr>
        <w:ind w:left="4378" w:hanging="420"/>
      </w:pPr>
    </w:lvl>
    <w:lvl w:ilvl="7" w:tentative="0">
      <w:start w:val="1"/>
      <w:numFmt w:val="lowerLetter"/>
      <w:lvlText w:val="%8)"/>
      <w:lvlJc w:val="left"/>
      <w:pPr>
        <w:ind w:left="4798" w:hanging="420"/>
      </w:pPr>
    </w:lvl>
    <w:lvl w:ilvl="8" w:tentative="0">
      <w:start w:val="1"/>
      <w:numFmt w:val="lowerRoman"/>
      <w:lvlText w:val="%9."/>
      <w:lvlJc w:val="right"/>
      <w:pPr>
        <w:ind w:left="5218" w:hanging="420"/>
      </w:pPr>
    </w:lvl>
  </w:abstractNum>
  <w:abstractNum w:abstractNumId="3">
    <w:nsid w:val="23A93347"/>
    <w:multiLevelType w:val="multilevel"/>
    <w:tmpl w:val="23A93347"/>
    <w:lvl w:ilvl="0" w:tentative="0">
      <w:start w:val="1"/>
      <w:numFmt w:val="japaneseCounting"/>
      <w:lvlText w:val="(%1)"/>
      <w:lvlJc w:val="left"/>
      <w:pPr>
        <w:ind w:left="1978" w:hanging="540"/>
      </w:pPr>
      <w:rPr>
        <w:rFonts w:hint="default" w:hAnsi="宋体"/>
      </w:rPr>
    </w:lvl>
    <w:lvl w:ilvl="1" w:tentative="0">
      <w:start w:val="1"/>
      <w:numFmt w:val="lowerLetter"/>
      <w:lvlText w:val="%2)"/>
      <w:lvlJc w:val="left"/>
      <w:pPr>
        <w:ind w:left="2278" w:hanging="420"/>
      </w:pPr>
    </w:lvl>
    <w:lvl w:ilvl="2" w:tentative="0">
      <w:start w:val="1"/>
      <w:numFmt w:val="lowerRoman"/>
      <w:lvlText w:val="%3."/>
      <w:lvlJc w:val="right"/>
      <w:pPr>
        <w:ind w:left="2698" w:hanging="420"/>
      </w:pPr>
    </w:lvl>
    <w:lvl w:ilvl="3" w:tentative="0">
      <w:start w:val="1"/>
      <w:numFmt w:val="decimal"/>
      <w:lvlText w:val="%4."/>
      <w:lvlJc w:val="left"/>
      <w:pPr>
        <w:ind w:left="3118" w:hanging="420"/>
      </w:pPr>
    </w:lvl>
    <w:lvl w:ilvl="4" w:tentative="0">
      <w:start w:val="1"/>
      <w:numFmt w:val="lowerLetter"/>
      <w:lvlText w:val="%5)"/>
      <w:lvlJc w:val="left"/>
      <w:pPr>
        <w:ind w:left="3538" w:hanging="420"/>
      </w:pPr>
    </w:lvl>
    <w:lvl w:ilvl="5" w:tentative="0">
      <w:start w:val="1"/>
      <w:numFmt w:val="lowerRoman"/>
      <w:lvlText w:val="%6."/>
      <w:lvlJc w:val="right"/>
      <w:pPr>
        <w:ind w:left="3958" w:hanging="420"/>
      </w:pPr>
    </w:lvl>
    <w:lvl w:ilvl="6" w:tentative="0">
      <w:start w:val="1"/>
      <w:numFmt w:val="decimal"/>
      <w:lvlText w:val="%7."/>
      <w:lvlJc w:val="left"/>
      <w:pPr>
        <w:ind w:left="4378" w:hanging="420"/>
      </w:pPr>
    </w:lvl>
    <w:lvl w:ilvl="7" w:tentative="0">
      <w:start w:val="1"/>
      <w:numFmt w:val="lowerLetter"/>
      <w:lvlText w:val="%8)"/>
      <w:lvlJc w:val="left"/>
      <w:pPr>
        <w:ind w:left="4798" w:hanging="420"/>
      </w:pPr>
    </w:lvl>
    <w:lvl w:ilvl="8" w:tentative="0">
      <w:start w:val="1"/>
      <w:numFmt w:val="lowerRoman"/>
      <w:lvlText w:val="%9."/>
      <w:lvlJc w:val="right"/>
      <w:pPr>
        <w:ind w:left="5218" w:hanging="420"/>
      </w:pPr>
    </w:lvl>
  </w:abstractNum>
  <w:abstractNum w:abstractNumId="4">
    <w:nsid w:val="33033282"/>
    <w:multiLevelType w:val="multilevel"/>
    <w:tmpl w:val="33033282"/>
    <w:lvl w:ilvl="0" w:tentative="0">
      <w:start w:val="1"/>
      <w:numFmt w:val="japaneseCounting"/>
      <w:lvlText w:val="(%1)"/>
      <w:lvlJc w:val="left"/>
      <w:pPr>
        <w:ind w:left="1978" w:hanging="540"/>
      </w:pPr>
      <w:rPr>
        <w:rFonts w:hint="default" w:hAnsi="宋体"/>
      </w:rPr>
    </w:lvl>
    <w:lvl w:ilvl="1" w:tentative="0">
      <w:start w:val="1"/>
      <w:numFmt w:val="lowerLetter"/>
      <w:lvlText w:val="%2)"/>
      <w:lvlJc w:val="left"/>
      <w:pPr>
        <w:ind w:left="2278" w:hanging="420"/>
      </w:pPr>
    </w:lvl>
    <w:lvl w:ilvl="2" w:tentative="0">
      <w:start w:val="1"/>
      <w:numFmt w:val="lowerRoman"/>
      <w:lvlText w:val="%3."/>
      <w:lvlJc w:val="right"/>
      <w:pPr>
        <w:ind w:left="2698" w:hanging="420"/>
      </w:pPr>
    </w:lvl>
    <w:lvl w:ilvl="3" w:tentative="0">
      <w:start w:val="1"/>
      <w:numFmt w:val="decimal"/>
      <w:lvlText w:val="%4."/>
      <w:lvlJc w:val="left"/>
      <w:pPr>
        <w:ind w:left="3118" w:hanging="420"/>
      </w:pPr>
    </w:lvl>
    <w:lvl w:ilvl="4" w:tentative="0">
      <w:start w:val="1"/>
      <w:numFmt w:val="lowerLetter"/>
      <w:lvlText w:val="%5)"/>
      <w:lvlJc w:val="left"/>
      <w:pPr>
        <w:ind w:left="3538" w:hanging="420"/>
      </w:pPr>
    </w:lvl>
    <w:lvl w:ilvl="5" w:tentative="0">
      <w:start w:val="1"/>
      <w:numFmt w:val="lowerRoman"/>
      <w:lvlText w:val="%6."/>
      <w:lvlJc w:val="right"/>
      <w:pPr>
        <w:ind w:left="3958" w:hanging="420"/>
      </w:pPr>
    </w:lvl>
    <w:lvl w:ilvl="6" w:tentative="0">
      <w:start w:val="1"/>
      <w:numFmt w:val="decimal"/>
      <w:lvlText w:val="%7."/>
      <w:lvlJc w:val="left"/>
      <w:pPr>
        <w:ind w:left="4378" w:hanging="420"/>
      </w:pPr>
    </w:lvl>
    <w:lvl w:ilvl="7" w:tentative="0">
      <w:start w:val="1"/>
      <w:numFmt w:val="lowerLetter"/>
      <w:lvlText w:val="%8)"/>
      <w:lvlJc w:val="left"/>
      <w:pPr>
        <w:ind w:left="4798" w:hanging="420"/>
      </w:pPr>
    </w:lvl>
    <w:lvl w:ilvl="8" w:tentative="0">
      <w:start w:val="1"/>
      <w:numFmt w:val="lowerRoman"/>
      <w:lvlText w:val="%9."/>
      <w:lvlJc w:val="right"/>
      <w:pPr>
        <w:ind w:left="5218" w:hanging="420"/>
      </w:pPr>
    </w:lvl>
  </w:abstractNum>
  <w:abstractNum w:abstractNumId="5">
    <w:nsid w:val="51A20D13"/>
    <w:multiLevelType w:val="multilevel"/>
    <w:tmpl w:val="51A20D13"/>
    <w:lvl w:ilvl="0" w:tentative="0">
      <w:start w:val="1"/>
      <w:numFmt w:val="japaneseCounting"/>
      <w:lvlText w:val="第%1条"/>
      <w:lvlJc w:val="left"/>
      <w:pPr>
        <w:tabs>
          <w:tab w:val="left" w:pos="465"/>
        </w:tabs>
        <w:ind w:left="465" w:hanging="465"/>
      </w:pPr>
      <w:rPr>
        <w:rFonts w:hint="eastAsia"/>
        <w:b w:val="0"/>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EF222C8"/>
    <w:multiLevelType w:val="multilevel"/>
    <w:tmpl w:val="5EF222C8"/>
    <w:lvl w:ilvl="0" w:tentative="0">
      <w:start w:val="1"/>
      <w:numFmt w:val="japaneseCounting"/>
      <w:lvlText w:val="(%1)"/>
      <w:lvlJc w:val="left"/>
      <w:pPr>
        <w:ind w:left="1978" w:hanging="540"/>
      </w:pPr>
      <w:rPr>
        <w:rFonts w:hint="default" w:hAnsi="宋体"/>
      </w:rPr>
    </w:lvl>
    <w:lvl w:ilvl="1" w:tentative="0">
      <w:start w:val="1"/>
      <w:numFmt w:val="lowerLetter"/>
      <w:lvlText w:val="%2)"/>
      <w:lvlJc w:val="left"/>
      <w:pPr>
        <w:ind w:left="2278" w:hanging="420"/>
      </w:pPr>
    </w:lvl>
    <w:lvl w:ilvl="2" w:tentative="0">
      <w:start w:val="1"/>
      <w:numFmt w:val="lowerRoman"/>
      <w:lvlText w:val="%3."/>
      <w:lvlJc w:val="right"/>
      <w:pPr>
        <w:ind w:left="2698" w:hanging="420"/>
      </w:pPr>
    </w:lvl>
    <w:lvl w:ilvl="3" w:tentative="0">
      <w:start w:val="1"/>
      <w:numFmt w:val="decimal"/>
      <w:lvlText w:val="%4."/>
      <w:lvlJc w:val="left"/>
      <w:pPr>
        <w:ind w:left="3118" w:hanging="420"/>
      </w:pPr>
    </w:lvl>
    <w:lvl w:ilvl="4" w:tentative="0">
      <w:start w:val="1"/>
      <w:numFmt w:val="lowerLetter"/>
      <w:lvlText w:val="%5)"/>
      <w:lvlJc w:val="left"/>
      <w:pPr>
        <w:ind w:left="3538" w:hanging="420"/>
      </w:pPr>
    </w:lvl>
    <w:lvl w:ilvl="5" w:tentative="0">
      <w:start w:val="1"/>
      <w:numFmt w:val="lowerRoman"/>
      <w:lvlText w:val="%6."/>
      <w:lvlJc w:val="right"/>
      <w:pPr>
        <w:ind w:left="3958" w:hanging="420"/>
      </w:pPr>
    </w:lvl>
    <w:lvl w:ilvl="6" w:tentative="0">
      <w:start w:val="1"/>
      <w:numFmt w:val="decimal"/>
      <w:lvlText w:val="%7."/>
      <w:lvlJc w:val="left"/>
      <w:pPr>
        <w:ind w:left="4378" w:hanging="420"/>
      </w:pPr>
    </w:lvl>
    <w:lvl w:ilvl="7" w:tentative="0">
      <w:start w:val="1"/>
      <w:numFmt w:val="lowerLetter"/>
      <w:lvlText w:val="%8)"/>
      <w:lvlJc w:val="left"/>
      <w:pPr>
        <w:ind w:left="4798" w:hanging="420"/>
      </w:pPr>
    </w:lvl>
    <w:lvl w:ilvl="8" w:tentative="0">
      <w:start w:val="1"/>
      <w:numFmt w:val="lowerRoman"/>
      <w:lvlText w:val="%9."/>
      <w:lvlJc w:val="right"/>
      <w:pPr>
        <w:ind w:left="5218" w:hanging="420"/>
      </w:pPr>
    </w:lvl>
  </w:abstractNum>
  <w:abstractNum w:abstractNumId="7">
    <w:nsid w:val="62D00DE5"/>
    <w:multiLevelType w:val="multilevel"/>
    <w:tmpl w:val="62D00DE5"/>
    <w:lvl w:ilvl="0" w:tentative="0">
      <w:start w:val="1"/>
      <w:numFmt w:val="japaneseCounting"/>
      <w:lvlText w:val="(%1)"/>
      <w:lvlJc w:val="left"/>
      <w:pPr>
        <w:ind w:left="1976" w:hanging="540"/>
      </w:pPr>
      <w:rPr>
        <w:rFonts w:hint="default"/>
      </w:rPr>
    </w:lvl>
    <w:lvl w:ilvl="1" w:tentative="0">
      <w:start w:val="1"/>
      <w:numFmt w:val="lowerLetter"/>
      <w:lvlText w:val="%2)"/>
      <w:lvlJc w:val="left"/>
      <w:pPr>
        <w:ind w:left="2276" w:hanging="420"/>
      </w:pPr>
    </w:lvl>
    <w:lvl w:ilvl="2" w:tentative="0">
      <w:start w:val="1"/>
      <w:numFmt w:val="lowerRoman"/>
      <w:lvlText w:val="%3."/>
      <w:lvlJc w:val="right"/>
      <w:pPr>
        <w:ind w:left="2696" w:hanging="420"/>
      </w:pPr>
    </w:lvl>
    <w:lvl w:ilvl="3" w:tentative="0">
      <w:start w:val="1"/>
      <w:numFmt w:val="decimal"/>
      <w:lvlText w:val="%4."/>
      <w:lvlJc w:val="left"/>
      <w:pPr>
        <w:ind w:left="3116" w:hanging="420"/>
      </w:pPr>
    </w:lvl>
    <w:lvl w:ilvl="4" w:tentative="0">
      <w:start w:val="1"/>
      <w:numFmt w:val="lowerLetter"/>
      <w:lvlText w:val="%5)"/>
      <w:lvlJc w:val="left"/>
      <w:pPr>
        <w:ind w:left="3536" w:hanging="420"/>
      </w:pPr>
    </w:lvl>
    <w:lvl w:ilvl="5" w:tentative="0">
      <w:start w:val="1"/>
      <w:numFmt w:val="lowerRoman"/>
      <w:lvlText w:val="%6."/>
      <w:lvlJc w:val="right"/>
      <w:pPr>
        <w:ind w:left="3956" w:hanging="420"/>
      </w:pPr>
    </w:lvl>
    <w:lvl w:ilvl="6" w:tentative="0">
      <w:start w:val="1"/>
      <w:numFmt w:val="decimal"/>
      <w:lvlText w:val="%7."/>
      <w:lvlJc w:val="left"/>
      <w:pPr>
        <w:ind w:left="4376" w:hanging="420"/>
      </w:pPr>
    </w:lvl>
    <w:lvl w:ilvl="7" w:tentative="0">
      <w:start w:val="1"/>
      <w:numFmt w:val="lowerLetter"/>
      <w:lvlText w:val="%8)"/>
      <w:lvlJc w:val="left"/>
      <w:pPr>
        <w:ind w:left="4796" w:hanging="420"/>
      </w:pPr>
    </w:lvl>
    <w:lvl w:ilvl="8" w:tentative="0">
      <w:start w:val="1"/>
      <w:numFmt w:val="lowerRoman"/>
      <w:lvlText w:val="%9."/>
      <w:lvlJc w:val="right"/>
      <w:pPr>
        <w:ind w:left="5216" w:hanging="420"/>
      </w:pPr>
    </w:lvl>
  </w:abstractNum>
  <w:abstractNum w:abstractNumId="8">
    <w:nsid w:val="663E28F5"/>
    <w:multiLevelType w:val="multilevel"/>
    <w:tmpl w:val="663E28F5"/>
    <w:lvl w:ilvl="0" w:tentative="0">
      <w:start w:val="1"/>
      <w:numFmt w:val="chineseCountingThousand"/>
      <w:lvlText w:val="(%1)"/>
      <w:lvlJc w:val="left"/>
      <w:pPr>
        <w:ind w:left="1796" w:hanging="360"/>
      </w:pPr>
      <w:rPr>
        <w:rFonts w:hint="default"/>
      </w:rPr>
    </w:lvl>
    <w:lvl w:ilvl="1" w:tentative="0">
      <w:start w:val="1"/>
      <w:numFmt w:val="lowerLetter"/>
      <w:lvlText w:val="%2)"/>
      <w:lvlJc w:val="left"/>
      <w:pPr>
        <w:ind w:left="2276" w:hanging="420"/>
      </w:pPr>
    </w:lvl>
    <w:lvl w:ilvl="2" w:tentative="0">
      <w:start w:val="1"/>
      <w:numFmt w:val="lowerRoman"/>
      <w:lvlText w:val="%3."/>
      <w:lvlJc w:val="right"/>
      <w:pPr>
        <w:ind w:left="2696" w:hanging="420"/>
      </w:pPr>
    </w:lvl>
    <w:lvl w:ilvl="3" w:tentative="0">
      <w:start w:val="1"/>
      <w:numFmt w:val="decimal"/>
      <w:lvlText w:val="%4."/>
      <w:lvlJc w:val="left"/>
      <w:pPr>
        <w:ind w:left="3116" w:hanging="420"/>
      </w:pPr>
    </w:lvl>
    <w:lvl w:ilvl="4" w:tentative="0">
      <w:start w:val="1"/>
      <w:numFmt w:val="lowerLetter"/>
      <w:lvlText w:val="%5)"/>
      <w:lvlJc w:val="left"/>
      <w:pPr>
        <w:ind w:left="3536" w:hanging="420"/>
      </w:pPr>
    </w:lvl>
    <w:lvl w:ilvl="5" w:tentative="0">
      <w:start w:val="1"/>
      <w:numFmt w:val="lowerRoman"/>
      <w:lvlText w:val="%6."/>
      <w:lvlJc w:val="right"/>
      <w:pPr>
        <w:ind w:left="3956" w:hanging="420"/>
      </w:pPr>
    </w:lvl>
    <w:lvl w:ilvl="6" w:tentative="0">
      <w:start w:val="1"/>
      <w:numFmt w:val="decimal"/>
      <w:lvlText w:val="%7."/>
      <w:lvlJc w:val="left"/>
      <w:pPr>
        <w:ind w:left="4376" w:hanging="420"/>
      </w:pPr>
    </w:lvl>
    <w:lvl w:ilvl="7" w:tentative="0">
      <w:start w:val="1"/>
      <w:numFmt w:val="lowerLetter"/>
      <w:lvlText w:val="%8)"/>
      <w:lvlJc w:val="left"/>
      <w:pPr>
        <w:ind w:left="4796" w:hanging="420"/>
      </w:pPr>
    </w:lvl>
    <w:lvl w:ilvl="8" w:tentative="0">
      <w:start w:val="1"/>
      <w:numFmt w:val="lowerRoman"/>
      <w:lvlText w:val="%9."/>
      <w:lvlJc w:val="right"/>
      <w:pPr>
        <w:ind w:left="5216" w:hanging="420"/>
      </w:pPr>
    </w:lvl>
  </w:abstractNum>
  <w:num w:numId="1">
    <w:abstractNumId w:val="1"/>
  </w:num>
  <w:num w:numId="2">
    <w:abstractNumId w:val="5"/>
  </w:num>
  <w:num w:numId="3">
    <w:abstractNumId w:val="4"/>
  </w:num>
  <w:num w:numId="4">
    <w:abstractNumId w:val="8"/>
  </w:num>
  <w:num w:numId="5">
    <w:abstractNumId w:val="3"/>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F1"/>
    <w:rsid w:val="00000E84"/>
    <w:rsid w:val="0000138F"/>
    <w:rsid w:val="0000184D"/>
    <w:rsid w:val="000222D2"/>
    <w:rsid w:val="00032C35"/>
    <w:rsid w:val="00044712"/>
    <w:rsid w:val="00050444"/>
    <w:rsid w:val="00065774"/>
    <w:rsid w:val="00066EFB"/>
    <w:rsid w:val="00072FF1"/>
    <w:rsid w:val="0008424D"/>
    <w:rsid w:val="000845CE"/>
    <w:rsid w:val="00084C33"/>
    <w:rsid w:val="00093658"/>
    <w:rsid w:val="000B1287"/>
    <w:rsid w:val="000B4C33"/>
    <w:rsid w:val="000B56C9"/>
    <w:rsid w:val="000B7146"/>
    <w:rsid w:val="000C4609"/>
    <w:rsid w:val="000D1E2C"/>
    <w:rsid w:val="000E71C4"/>
    <w:rsid w:val="000F2E93"/>
    <w:rsid w:val="000F2FD5"/>
    <w:rsid w:val="00107AAC"/>
    <w:rsid w:val="00122C72"/>
    <w:rsid w:val="00133778"/>
    <w:rsid w:val="00135A34"/>
    <w:rsid w:val="00147737"/>
    <w:rsid w:val="00151D09"/>
    <w:rsid w:val="00161DA9"/>
    <w:rsid w:val="001928BD"/>
    <w:rsid w:val="00192E70"/>
    <w:rsid w:val="001A036A"/>
    <w:rsid w:val="001A19F9"/>
    <w:rsid w:val="001D6C3A"/>
    <w:rsid w:val="001F63B2"/>
    <w:rsid w:val="001F7875"/>
    <w:rsid w:val="002049BD"/>
    <w:rsid w:val="00207CD0"/>
    <w:rsid w:val="0021098B"/>
    <w:rsid w:val="00214182"/>
    <w:rsid w:val="0021585F"/>
    <w:rsid w:val="002276DF"/>
    <w:rsid w:val="00232F62"/>
    <w:rsid w:val="00235C9C"/>
    <w:rsid w:val="0025524A"/>
    <w:rsid w:val="00275452"/>
    <w:rsid w:val="00280053"/>
    <w:rsid w:val="0028390B"/>
    <w:rsid w:val="002A567F"/>
    <w:rsid w:val="002A6027"/>
    <w:rsid w:val="002B5182"/>
    <w:rsid w:val="002B6075"/>
    <w:rsid w:val="002C04DF"/>
    <w:rsid w:val="002D2FD6"/>
    <w:rsid w:val="002E449F"/>
    <w:rsid w:val="00306975"/>
    <w:rsid w:val="0031333A"/>
    <w:rsid w:val="00316227"/>
    <w:rsid w:val="00330108"/>
    <w:rsid w:val="00331F31"/>
    <w:rsid w:val="003453C6"/>
    <w:rsid w:val="00347869"/>
    <w:rsid w:val="00357EA7"/>
    <w:rsid w:val="00382E52"/>
    <w:rsid w:val="00385F69"/>
    <w:rsid w:val="003A456A"/>
    <w:rsid w:val="003A6AD8"/>
    <w:rsid w:val="003A70FE"/>
    <w:rsid w:val="003B2E38"/>
    <w:rsid w:val="003C7559"/>
    <w:rsid w:val="003C7EE9"/>
    <w:rsid w:val="003D41F9"/>
    <w:rsid w:val="003F2BDB"/>
    <w:rsid w:val="00400F5B"/>
    <w:rsid w:val="004042ED"/>
    <w:rsid w:val="00406B90"/>
    <w:rsid w:val="0041099F"/>
    <w:rsid w:val="004220AB"/>
    <w:rsid w:val="004335D7"/>
    <w:rsid w:val="00435115"/>
    <w:rsid w:val="00441912"/>
    <w:rsid w:val="00453A13"/>
    <w:rsid w:val="00464BF5"/>
    <w:rsid w:val="00480C62"/>
    <w:rsid w:val="00483F82"/>
    <w:rsid w:val="0048545D"/>
    <w:rsid w:val="00493183"/>
    <w:rsid w:val="004B2582"/>
    <w:rsid w:val="004B2C1E"/>
    <w:rsid w:val="004C5325"/>
    <w:rsid w:val="004C5D36"/>
    <w:rsid w:val="004C7FB1"/>
    <w:rsid w:val="004E12DE"/>
    <w:rsid w:val="004E1703"/>
    <w:rsid w:val="00510867"/>
    <w:rsid w:val="005148E6"/>
    <w:rsid w:val="00526264"/>
    <w:rsid w:val="00537850"/>
    <w:rsid w:val="00541947"/>
    <w:rsid w:val="00563486"/>
    <w:rsid w:val="005676D4"/>
    <w:rsid w:val="00567DFB"/>
    <w:rsid w:val="00575DD1"/>
    <w:rsid w:val="005816F1"/>
    <w:rsid w:val="005839E5"/>
    <w:rsid w:val="00587D6A"/>
    <w:rsid w:val="005A0036"/>
    <w:rsid w:val="005B0A92"/>
    <w:rsid w:val="005B63B0"/>
    <w:rsid w:val="005C0553"/>
    <w:rsid w:val="005D02A9"/>
    <w:rsid w:val="005E2C3E"/>
    <w:rsid w:val="005E4A51"/>
    <w:rsid w:val="005E5D36"/>
    <w:rsid w:val="005F0345"/>
    <w:rsid w:val="005F1284"/>
    <w:rsid w:val="005F38A1"/>
    <w:rsid w:val="00600193"/>
    <w:rsid w:val="006062C1"/>
    <w:rsid w:val="00610943"/>
    <w:rsid w:val="00623C89"/>
    <w:rsid w:val="00630C3D"/>
    <w:rsid w:val="0063307D"/>
    <w:rsid w:val="00635096"/>
    <w:rsid w:val="00641428"/>
    <w:rsid w:val="006509F6"/>
    <w:rsid w:val="00651951"/>
    <w:rsid w:val="0067470E"/>
    <w:rsid w:val="006B72E5"/>
    <w:rsid w:val="006C0048"/>
    <w:rsid w:val="006C22F3"/>
    <w:rsid w:val="006C524F"/>
    <w:rsid w:val="006C7BCD"/>
    <w:rsid w:val="006C7BF6"/>
    <w:rsid w:val="006D0DD9"/>
    <w:rsid w:val="006E03D5"/>
    <w:rsid w:val="006E224A"/>
    <w:rsid w:val="006F6D83"/>
    <w:rsid w:val="007119A5"/>
    <w:rsid w:val="00715F0F"/>
    <w:rsid w:val="00732191"/>
    <w:rsid w:val="0074429D"/>
    <w:rsid w:val="007549EE"/>
    <w:rsid w:val="0075525B"/>
    <w:rsid w:val="007555EB"/>
    <w:rsid w:val="0075603C"/>
    <w:rsid w:val="00762AA5"/>
    <w:rsid w:val="0076387A"/>
    <w:rsid w:val="00765DF4"/>
    <w:rsid w:val="007670B1"/>
    <w:rsid w:val="00783AA3"/>
    <w:rsid w:val="00793ADB"/>
    <w:rsid w:val="00794E4B"/>
    <w:rsid w:val="00795A85"/>
    <w:rsid w:val="007A3642"/>
    <w:rsid w:val="007A7D45"/>
    <w:rsid w:val="007B1634"/>
    <w:rsid w:val="007B24F0"/>
    <w:rsid w:val="007C0200"/>
    <w:rsid w:val="007C739C"/>
    <w:rsid w:val="007E4509"/>
    <w:rsid w:val="007E4B47"/>
    <w:rsid w:val="007F5A0F"/>
    <w:rsid w:val="00800443"/>
    <w:rsid w:val="00806630"/>
    <w:rsid w:val="00822749"/>
    <w:rsid w:val="008254C1"/>
    <w:rsid w:val="008336F9"/>
    <w:rsid w:val="00833BF2"/>
    <w:rsid w:val="0083559B"/>
    <w:rsid w:val="00845D60"/>
    <w:rsid w:val="008536A0"/>
    <w:rsid w:val="008640A0"/>
    <w:rsid w:val="00880E5B"/>
    <w:rsid w:val="00883E62"/>
    <w:rsid w:val="008850C7"/>
    <w:rsid w:val="008A2424"/>
    <w:rsid w:val="008A342B"/>
    <w:rsid w:val="008B15C1"/>
    <w:rsid w:val="008B69F6"/>
    <w:rsid w:val="008D00E3"/>
    <w:rsid w:val="008D65D1"/>
    <w:rsid w:val="008E14BC"/>
    <w:rsid w:val="008E5C59"/>
    <w:rsid w:val="00901C68"/>
    <w:rsid w:val="00903950"/>
    <w:rsid w:val="00912D55"/>
    <w:rsid w:val="00913282"/>
    <w:rsid w:val="0091523D"/>
    <w:rsid w:val="00932D98"/>
    <w:rsid w:val="00936A1D"/>
    <w:rsid w:val="00943F43"/>
    <w:rsid w:val="00952A95"/>
    <w:rsid w:val="00962720"/>
    <w:rsid w:val="009721F3"/>
    <w:rsid w:val="00977A81"/>
    <w:rsid w:val="00983BA3"/>
    <w:rsid w:val="00985803"/>
    <w:rsid w:val="00987981"/>
    <w:rsid w:val="00993AF1"/>
    <w:rsid w:val="009A0EA7"/>
    <w:rsid w:val="009A57C8"/>
    <w:rsid w:val="009C68CA"/>
    <w:rsid w:val="009D0521"/>
    <w:rsid w:val="009D1530"/>
    <w:rsid w:val="009D776C"/>
    <w:rsid w:val="009F3ADF"/>
    <w:rsid w:val="00A149EB"/>
    <w:rsid w:val="00A166B6"/>
    <w:rsid w:val="00A201BD"/>
    <w:rsid w:val="00A353E1"/>
    <w:rsid w:val="00A41AB9"/>
    <w:rsid w:val="00A44472"/>
    <w:rsid w:val="00A56CEA"/>
    <w:rsid w:val="00A61C71"/>
    <w:rsid w:val="00A825AA"/>
    <w:rsid w:val="00A9076F"/>
    <w:rsid w:val="00A958B6"/>
    <w:rsid w:val="00AA2AA6"/>
    <w:rsid w:val="00AB3891"/>
    <w:rsid w:val="00AC721B"/>
    <w:rsid w:val="00AC7CC7"/>
    <w:rsid w:val="00AD22A0"/>
    <w:rsid w:val="00AD6E5C"/>
    <w:rsid w:val="00AE47E4"/>
    <w:rsid w:val="00AE5EC7"/>
    <w:rsid w:val="00AF2544"/>
    <w:rsid w:val="00B009E9"/>
    <w:rsid w:val="00B03F86"/>
    <w:rsid w:val="00B06F55"/>
    <w:rsid w:val="00B13566"/>
    <w:rsid w:val="00B35EF9"/>
    <w:rsid w:val="00B420F0"/>
    <w:rsid w:val="00B53D12"/>
    <w:rsid w:val="00B57910"/>
    <w:rsid w:val="00B7146A"/>
    <w:rsid w:val="00B75C21"/>
    <w:rsid w:val="00BA3393"/>
    <w:rsid w:val="00BC0527"/>
    <w:rsid w:val="00BC6034"/>
    <w:rsid w:val="00BD44BA"/>
    <w:rsid w:val="00BE0386"/>
    <w:rsid w:val="00BE1795"/>
    <w:rsid w:val="00BE5C2F"/>
    <w:rsid w:val="00BF0E95"/>
    <w:rsid w:val="00BF3146"/>
    <w:rsid w:val="00BF46A4"/>
    <w:rsid w:val="00C04533"/>
    <w:rsid w:val="00C20025"/>
    <w:rsid w:val="00C21508"/>
    <w:rsid w:val="00C21FC9"/>
    <w:rsid w:val="00C24CEE"/>
    <w:rsid w:val="00C27DA1"/>
    <w:rsid w:val="00C307D2"/>
    <w:rsid w:val="00C36A0F"/>
    <w:rsid w:val="00C45DB9"/>
    <w:rsid w:val="00C7114B"/>
    <w:rsid w:val="00C73507"/>
    <w:rsid w:val="00C775BC"/>
    <w:rsid w:val="00C833B9"/>
    <w:rsid w:val="00C90BD2"/>
    <w:rsid w:val="00C9157D"/>
    <w:rsid w:val="00CA156A"/>
    <w:rsid w:val="00CA2A9B"/>
    <w:rsid w:val="00CB5709"/>
    <w:rsid w:val="00CB6A96"/>
    <w:rsid w:val="00CD6DE3"/>
    <w:rsid w:val="00CE04D5"/>
    <w:rsid w:val="00D01907"/>
    <w:rsid w:val="00D05617"/>
    <w:rsid w:val="00D06907"/>
    <w:rsid w:val="00D218C5"/>
    <w:rsid w:val="00D35DCB"/>
    <w:rsid w:val="00D44F3D"/>
    <w:rsid w:val="00D4598B"/>
    <w:rsid w:val="00D507E6"/>
    <w:rsid w:val="00D52A54"/>
    <w:rsid w:val="00D569CE"/>
    <w:rsid w:val="00D6040F"/>
    <w:rsid w:val="00D77AC1"/>
    <w:rsid w:val="00D877E8"/>
    <w:rsid w:val="00DA02E4"/>
    <w:rsid w:val="00DA195A"/>
    <w:rsid w:val="00DA6191"/>
    <w:rsid w:val="00DA7D4E"/>
    <w:rsid w:val="00DB7885"/>
    <w:rsid w:val="00DC1A7F"/>
    <w:rsid w:val="00DC54A8"/>
    <w:rsid w:val="00DF4439"/>
    <w:rsid w:val="00E00B80"/>
    <w:rsid w:val="00E01420"/>
    <w:rsid w:val="00E045D4"/>
    <w:rsid w:val="00E14B6A"/>
    <w:rsid w:val="00E17C7F"/>
    <w:rsid w:val="00E22411"/>
    <w:rsid w:val="00E261BA"/>
    <w:rsid w:val="00E506FC"/>
    <w:rsid w:val="00E579DD"/>
    <w:rsid w:val="00E6544B"/>
    <w:rsid w:val="00E84DF9"/>
    <w:rsid w:val="00E91A9C"/>
    <w:rsid w:val="00EA4A69"/>
    <w:rsid w:val="00EB0661"/>
    <w:rsid w:val="00EB08C7"/>
    <w:rsid w:val="00EB2011"/>
    <w:rsid w:val="00EC1E4E"/>
    <w:rsid w:val="00ED15D9"/>
    <w:rsid w:val="00ED5825"/>
    <w:rsid w:val="00EE5370"/>
    <w:rsid w:val="00EF7282"/>
    <w:rsid w:val="00F022B8"/>
    <w:rsid w:val="00F03C52"/>
    <w:rsid w:val="00F10166"/>
    <w:rsid w:val="00F11E88"/>
    <w:rsid w:val="00F14561"/>
    <w:rsid w:val="00F3109E"/>
    <w:rsid w:val="00F41B5D"/>
    <w:rsid w:val="00F41BFE"/>
    <w:rsid w:val="00F45A0D"/>
    <w:rsid w:val="00F46573"/>
    <w:rsid w:val="00F5482E"/>
    <w:rsid w:val="00F54AAE"/>
    <w:rsid w:val="00F56E84"/>
    <w:rsid w:val="00F61521"/>
    <w:rsid w:val="00F70BF5"/>
    <w:rsid w:val="00F72CC1"/>
    <w:rsid w:val="00F7653D"/>
    <w:rsid w:val="00F76680"/>
    <w:rsid w:val="00FA46BA"/>
    <w:rsid w:val="00FC2B24"/>
    <w:rsid w:val="00FD02F4"/>
    <w:rsid w:val="00FF1A32"/>
    <w:rsid w:val="00FF4C9E"/>
    <w:rsid w:val="00FF7781"/>
    <w:rsid w:val="01791547"/>
    <w:rsid w:val="034F0AFF"/>
    <w:rsid w:val="07A27794"/>
    <w:rsid w:val="2355373A"/>
    <w:rsid w:val="2B2847CD"/>
    <w:rsid w:val="2DC17480"/>
    <w:rsid w:val="4A34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uiPriority w:val="0"/>
    <w:rPr>
      <w:sz w:val="21"/>
      <w:szCs w:val="21"/>
    </w:rPr>
  </w:style>
  <w:style w:type="character" w:customStyle="1" w:styleId="11">
    <w:name w:val="批注文字 字符"/>
    <w:link w:val="2"/>
    <w:qFormat/>
    <w:uiPriority w:val="0"/>
    <w:rPr>
      <w:kern w:val="2"/>
      <w:sz w:val="21"/>
      <w:szCs w:val="24"/>
    </w:rPr>
  </w:style>
  <w:style w:type="character" w:customStyle="1" w:styleId="12">
    <w:name w:val="批注框文本 字符"/>
    <w:link w:val="3"/>
    <w:qFormat/>
    <w:uiPriority w:val="0"/>
    <w:rPr>
      <w:kern w:val="2"/>
      <w:sz w:val="18"/>
      <w:szCs w:val="18"/>
    </w:rPr>
  </w:style>
  <w:style w:type="character" w:customStyle="1" w:styleId="13">
    <w:name w:val="页眉 字符"/>
    <w:link w:val="5"/>
    <w:uiPriority w:val="0"/>
    <w:rPr>
      <w:rFonts w:eastAsia="宋体"/>
      <w:kern w:val="2"/>
      <w:sz w:val="18"/>
      <w:szCs w:val="18"/>
      <w:lang w:val="en-US" w:eastAsia="zh-CN" w:bidi="ar-SA"/>
    </w:rPr>
  </w:style>
  <w:style w:type="character" w:customStyle="1" w:styleId="14">
    <w:name w:val="批注主题 字符"/>
    <w:link w:val="6"/>
    <w:qFormat/>
    <w:uiPriority w:val="0"/>
    <w:rPr>
      <w:b/>
      <w:bCs/>
      <w:kern w:val="2"/>
      <w:sz w:val="21"/>
      <w:szCs w:val="24"/>
    </w:rPr>
  </w:style>
  <w:style w:type="paragraph" w:customStyle="1" w:styleId="15">
    <w:name w:val="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 w:type="paragraph" w:customStyle="1" w:styleId="16">
    <w:name w:val="Char"/>
    <w:basedOn w:val="1"/>
    <w:qFormat/>
    <w:uiPriority w:val="0"/>
    <w:pPr>
      <w:widowControl/>
      <w:spacing w:after="160" w:line="240" w:lineRule="exact"/>
      <w:jc w:val="left"/>
    </w:pPr>
    <w:rPr>
      <w:kern w:val="0"/>
      <w:sz w:val="20"/>
      <w:szCs w:val="20"/>
    </w:rPr>
  </w:style>
  <w:style w:type="paragraph" w:customStyle="1" w:styleId="17">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CM1"/>
    <w:basedOn w:val="17"/>
    <w:next w:val="17"/>
    <w:uiPriority w:val="0"/>
    <w:pPr>
      <w:spacing w:line="468" w:lineRule="atLeast"/>
    </w:pPr>
    <w:rPr>
      <w:color w:val="auto"/>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5781</Words>
  <Characters>5805</Characters>
  <Lines>45</Lines>
  <Paragraphs>12</Paragraphs>
  <TotalTime>6</TotalTime>
  <ScaleCrop>false</ScaleCrop>
  <LinksUpToDate>false</LinksUpToDate>
  <CharactersWithSpaces>6195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2015-06-06T05:36:00Z</dcterms:created>
  <dc:creator>Llinks</dc:creator>
  <cp:lastModifiedBy>lln</cp:lastModifiedBy>
  <dcterms:modified xsi:type="dcterms:W3CDTF">2025-08-15T08:35:27Z</dcterms:modified>
  <dc:title>议案十四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2052-12.1.0.21915</vt:lpwstr>
  </property>
  <property fmtid="{D5CDD505-2E9C-101B-9397-08002B2CF9AE}" pid="4" name="ICV">
    <vt:lpwstr>30F1571F738340BDBED820A194E23B40_13</vt:lpwstr>
  </property>
</Properties>
</file>