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84F90">
      <w:pPr>
        <w:jc w:val="center"/>
        <w:rPr>
          <w:rFonts w:hint="eastAsia" w:ascii="Arial" w:hAnsi="Arial" w:eastAsia="黑体" w:cs="Arial"/>
          <w:b/>
          <w:sz w:val="32"/>
          <w:szCs w:val="32"/>
        </w:rPr>
      </w:pPr>
    </w:p>
    <w:p w14:paraId="63183E63">
      <w:pPr>
        <w:jc w:val="center"/>
        <w:rPr>
          <w:rFonts w:ascii="宋体" w:hAnsi="宋体" w:cs="Arial"/>
          <w:b/>
          <w:sz w:val="32"/>
          <w:szCs w:val="32"/>
        </w:rPr>
      </w:pPr>
      <w:r>
        <w:rPr>
          <w:rFonts w:ascii="宋体" w:hAnsi="宋体" w:cs="Arial"/>
          <w:b/>
          <w:sz w:val="32"/>
          <w:szCs w:val="32"/>
        </w:rPr>
        <w:t>永兴特种</w:t>
      </w:r>
      <w:r>
        <w:rPr>
          <w:rFonts w:hint="eastAsia" w:ascii="宋体" w:hAnsi="宋体" w:cs="Arial"/>
          <w:b/>
          <w:sz w:val="32"/>
          <w:szCs w:val="32"/>
        </w:rPr>
        <w:t>材料科技</w:t>
      </w:r>
      <w:r>
        <w:rPr>
          <w:rFonts w:ascii="宋体" w:hAnsi="宋体" w:cs="Arial"/>
          <w:b/>
          <w:sz w:val="32"/>
          <w:szCs w:val="32"/>
        </w:rPr>
        <w:t>股份有限公司</w:t>
      </w:r>
    </w:p>
    <w:p w14:paraId="31A59C18">
      <w:pPr>
        <w:jc w:val="center"/>
        <w:rPr>
          <w:rFonts w:hint="eastAsia" w:ascii="宋体" w:hAnsi="宋体" w:cs="Arial"/>
          <w:b/>
          <w:sz w:val="32"/>
          <w:szCs w:val="32"/>
        </w:rPr>
      </w:pPr>
      <w:r>
        <w:rPr>
          <w:rFonts w:ascii="宋体" w:hAnsi="宋体" w:cs="Arial"/>
          <w:b/>
          <w:sz w:val="32"/>
          <w:szCs w:val="32"/>
        </w:rPr>
        <w:t>审计委员会工作细则</w:t>
      </w:r>
    </w:p>
    <w:p w14:paraId="26663D91">
      <w:pPr>
        <w:jc w:val="center"/>
        <w:rPr>
          <w:rFonts w:hint="eastAsia" w:ascii="Arial" w:hAnsi="Arial" w:eastAsia="黑体" w:cs="Arial"/>
          <w:b/>
          <w:sz w:val="32"/>
          <w:szCs w:val="32"/>
        </w:rPr>
      </w:pPr>
    </w:p>
    <w:p w14:paraId="0DA36027">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第一章  总则</w:t>
      </w:r>
    </w:p>
    <w:p w14:paraId="34625071">
      <w:pPr>
        <w:tabs>
          <w:tab w:val="right" w:pos="9070"/>
        </w:tabs>
        <w:spacing w:line="312" w:lineRule="auto"/>
        <w:ind w:firstLine="480"/>
        <w:rPr>
          <w:rFonts w:hint="eastAsia" w:ascii="宋体" w:hAnsi="宋体" w:cs="Arial"/>
          <w:sz w:val="24"/>
        </w:rPr>
      </w:pPr>
    </w:p>
    <w:p w14:paraId="0144C974">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第一条</w:t>
      </w:r>
      <w:r>
        <w:rPr>
          <w:rFonts w:hint="eastAsia" w:ascii="宋体" w:hAnsi="宋体" w:cs="Arial"/>
          <w:sz w:val="24"/>
        </w:rPr>
        <w:tab/>
      </w:r>
      <w:r>
        <w:rPr>
          <w:rFonts w:hint="eastAsia" w:ascii="宋体" w:hAnsi="宋体" w:cs="Arial"/>
          <w:sz w:val="24"/>
        </w:rPr>
        <w:t>为强化董事会决策功能, 做到事前审计、专业审计, 确保董事会对经理层的有效监督, 完善公司治理结构, 根据《中华人民共和国公司法》、《上市公司治理准则》、《公司章程》及其他有关规定, 公司特设立董事会审计委员会, 并制定本工作细则。</w:t>
      </w:r>
    </w:p>
    <w:p w14:paraId="498A1D92">
      <w:pPr>
        <w:tabs>
          <w:tab w:val="right" w:pos="9070"/>
        </w:tabs>
        <w:spacing w:line="312" w:lineRule="auto"/>
        <w:ind w:firstLine="480"/>
        <w:rPr>
          <w:rFonts w:hint="eastAsia" w:ascii="宋体" w:hAnsi="宋体" w:cs="Arial"/>
          <w:sz w:val="24"/>
        </w:rPr>
      </w:pPr>
    </w:p>
    <w:p w14:paraId="7B329A60">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第二条</w:t>
      </w:r>
      <w:r>
        <w:rPr>
          <w:rFonts w:hint="eastAsia" w:ascii="宋体" w:hAnsi="宋体" w:cs="Arial"/>
          <w:sz w:val="24"/>
        </w:rPr>
        <w:tab/>
      </w:r>
      <w:r>
        <w:rPr>
          <w:rFonts w:hint="eastAsia" w:ascii="宋体" w:hAnsi="宋体" w:cs="Arial"/>
          <w:sz w:val="24"/>
        </w:rPr>
        <w:t>董事会审计委员会是董事会下设的专门工作机构, 行使《公司法》规定的监事会的职权,</w:t>
      </w:r>
      <w:r>
        <w:rPr>
          <w:rFonts w:ascii="宋体" w:hAnsi="宋体" w:cs="Arial"/>
          <w:sz w:val="24"/>
        </w:rPr>
        <w:t xml:space="preserve"> </w:t>
      </w:r>
      <w:r>
        <w:rPr>
          <w:rFonts w:hint="eastAsia" w:ascii="宋体" w:hAnsi="宋体" w:cs="Arial"/>
          <w:sz w:val="24"/>
        </w:rPr>
        <w:t>主要负责对公司内、外部审计的沟通、监督和核查工作。</w:t>
      </w:r>
    </w:p>
    <w:p w14:paraId="41E06654">
      <w:pPr>
        <w:tabs>
          <w:tab w:val="right" w:pos="9070"/>
        </w:tabs>
        <w:spacing w:line="312" w:lineRule="auto"/>
        <w:ind w:firstLine="480"/>
        <w:rPr>
          <w:rFonts w:hint="eastAsia" w:ascii="宋体" w:hAnsi="宋体" w:cs="Arial"/>
          <w:sz w:val="24"/>
        </w:rPr>
      </w:pPr>
    </w:p>
    <w:p w14:paraId="7E2E132F">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第二章  人员组成</w:t>
      </w:r>
    </w:p>
    <w:p w14:paraId="3E7FA45B">
      <w:pPr>
        <w:tabs>
          <w:tab w:val="right" w:pos="9070"/>
        </w:tabs>
        <w:spacing w:line="312" w:lineRule="auto"/>
        <w:ind w:firstLine="480"/>
        <w:rPr>
          <w:rFonts w:hint="eastAsia" w:ascii="宋体" w:hAnsi="宋体" w:cs="Arial"/>
          <w:sz w:val="24"/>
        </w:rPr>
      </w:pPr>
    </w:p>
    <w:p w14:paraId="383FD241">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第三条</w:t>
      </w:r>
      <w:r>
        <w:rPr>
          <w:rFonts w:hint="eastAsia" w:ascii="宋体" w:hAnsi="宋体" w:cs="Arial"/>
          <w:sz w:val="24"/>
        </w:rPr>
        <w:tab/>
      </w:r>
      <w:r>
        <w:rPr>
          <w:rFonts w:hint="eastAsia" w:ascii="宋体" w:hAnsi="宋体" w:cs="Arial"/>
          <w:sz w:val="24"/>
        </w:rPr>
        <w:t>审计委员会成员由五名董事组成, 其中独立董事三名, 并有一名独立董事为会计专业人士。审计委员会的召集人应当为担任独立董事的会计专业人士。公司董事会成员中的职工代表可以成为审计委员会成员。审计委员会成员应当具备履行审计委员会工作职责的专业知识和经验。</w:t>
      </w:r>
    </w:p>
    <w:p w14:paraId="1AE14884">
      <w:pPr>
        <w:tabs>
          <w:tab w:val="right" w:pos="9070"/>
        </w:tabs>
        <w:spacing w:line="312" w:lineRule="auto"/>
        <w:ind w:firstLine="480"/>
        <w:rPr>
          <w:rFonts w:hint="eastAsia" w:ascii="宋体" w:hAnsi="宋体" w:cs="Arial"/>
          <w:sz w:val="24"/>
        </w:rPr>
      </w:pPr>
    </w:p>
    <w:p w14:paraId="29DA98B9">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第四条</w:t>
      </w:r>
      <w:r>
        <w:rPr>
          <w:rFonts w:hint="eastAsia" w:ascii="宋体" w:hAnsi="宋体" w:cs="Arial"/>
          <w:sz w:val="24"/>
        </w:rPr>
        <w:tab/>
      </w:r>
      <w:r>
        <w:rPr>
          <w:rFonts w:hint="eastAsia" w:ascii="宋体" w:hAnsi="宋体" w:cs="Arial"/>
          <w:sz w:val="24"/>
        </w:rPr>
        <w:t>审计委员会委员由董事长、二分之一以上独立董事或者全体董事的三分之一提名, 并由董事会选举产生。</w:t>
      </w:r>
    </w:p>
    <w:p w14:paraId="434CD554">
      <w:pPr>
        <w:tabs>
          <w:tab w:val="right" w:pos="9070"/>
        </w:tabs>
        <w:spacing w:line="312" w:lineRule="auto"/>
        <w:ind w:firstLine="480"/>
        <w:rPr>
          <w:rFonts w:hint="eastAsia" w:ascii="宋体" w:hAnsi="宋体" w:cs="Arial"/>
          <w:sz w:val="24"/>
        </w:rPr>
      </w:pPr>
    </w:p>
    <w:p w14:paraId="7D53F6F3">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第五条</w:t>
      </w:r>
      <w:r>
        <w:rPr>
          <w:rFonts w:hint="eastAsia" w:ascii="宋体" w:hAnsi="宋体" w:cs="Arial"/>
          <w:sz w:val="24"/>
        </w:rPr>
        <w:tab/>
      </w:r>
      <w:r>
        <w:rPr>
          <w:rFonts w:hint="eastAsia" w:ascii="宋体" w:hAnsi="宋体" w:cs="Arial"/>
          <w:sz w:val="24"/>
        </w:rPr>
        <w:t>审计委员会设主任委员(即召集人)一名, 由独立董事中会计专业人士担任, 负责主持委员会工作; 主任委员</w:t>
      </w:r>
      <w:r>
        <w:rPr>
          <w:rFonts w:ascii="宋体" w:hAnsi="宋体" w:cs="Arial"/>
          <w:sz w:val="24"/>
        </w:rPr>
        <w:t>由全体委员的二分之一以上选举产生</w:t>
      </w:r>
      <w:r>
        <w:rPr>
          <w:rFonts w:hint="eastAsia" w:ascii="宋体" w:hAnsi="宋体" w:cs="Arial"/>
          <w:sz w:val="24"/>
        </w:rPr>
        <w:t>。</w:t>
      </w:r>
    </w:p>
    <w:p w14:paraId="06523F11">
      <w:pPr>
        <w:tabs>
          <w:tab w:val="right" w:pos="9070"/>
        </w:tabs>
        <w:spacing w:line="312" w:lineRule="auto"/>
        <w:ind w:firstLine="480"/>
        <w:rPr>
          <w:rFonts w:hint="eastAsia" w:ascii="宋体" w:hAnsi="宋体" w:cs="Arial"/>
          <w:sz w:val="24"/>
        </w:rPr>
      </w:pPr>
    </w:p>
    <w:p w14:paraId="3BA3A9F7">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第六条</w:t>
      </w:r>
      <w:r>
        <w:rPr>
          <w:rFonts w:hint="eastAsia" w:ascii="宋体" w:hAnsi="宋体" w:cs="Arial"/>
          <w:sz w:val="24"/>
        </w:rPr>
        <w:tab/>
      </w:r>
      <w:r>
        <w:rPr>
          <w:rFonts w:hint="eastAsia" w:ascii="宋体" w:hAnsi="宋体" w:cs="Arial"/>
          <w:sz w:val="24"/>
        </w:rPr>
        <w:t>审计委员会任期与董事会一致, 委员任期届满, 连选可以连</w:t>
      </w:r>
      <w:r>
        <w:rPr>
          <w:rFonts w:hint="eastAsia" w:ascii="宋体" w:hAnsi="宋体" w:cs="Arial"/>
          <w:sz w:val="24"/>
          <w:lang w:val="en-US" w:eastAsia="zh-CN"/>
        </w:rPr>
        <w:t>任</w:t>
      </w:r>
      <w:r>
        <w:rPr>
          <w:rFonts w:hint="eastAsia" w:ascii="宋体" w:hAnsi="宋体" w:cs="Arial"/>
          <w:sz w:val="24"/>
        </w:rPr>
        <w:t>。期间如有委员不再担任公司董事职务, 自动失去委员资格, 并由委员会根据本工作细则第三至第五条的规定补足委员人数。</w:t>
      </w:r>
    </w:p>
    <w:p w14:paraId="77D7FD28">
      <w:pPr>
        <w:tabs>
          <w:tab w:val="left" w:pos="1620"/>
        </w:tabs>
        <w:spacing w:line="312" w:lineRule="auto"/>
        <w:ind w:left="1502" w:hanging="1502" w:hangingChars="626"/>
        <w:rPr>
          <w:rFonts w:hint="eastAsia" w:ascii="宋体" w:hAnsi="宋体" w:cs="Arial"/>
          <w:sz w:val="24"/>
        </w:rPr>
      </w:pPr>
    </w:p>
    <w:p w14:paraId="03E9ADA2">
      <w:pPr>
        <w:tabs>
          <w:tab w:val="left" w:pos="1620"/>
        </w:tabs>
        <w:spacing w:line="312" w:lineRule="auto"/>
        <w:ind w:left="1502" w:hanging="1502" w:hangingChars="626"/>
        <w:rPr>
          <w:rFonts w:hint="eastAsia" w:ascii="宋体" w:hAnsi="宋体" w:cs="Arial"/>
          <w:sz w:val="24"/>
        </w:rPr>
      </w:pPr>
      <w:r>
        <w:rPr>
          <w:rFonts w:hint="eastAsia" w:ascii="宋体" w:hAnsi="宋体" w:cs="Arial"/>
          <w:sz w:val="24"/>
        </w:rPr>
        <w:t>第七条</w:t>
      </w:r>
      <w:r>
        <w:rPr>
          <w:rFonts w:hint="eastAsia" w:ascii="宋体" w:hAnsi="宋体" w:cs="Arial"/>
          <w:sz w:val="24"/>
        </w:rPr>
        <w:tab/>
      </w:r>
      <w:r>
        <w:rPr>
          <w:rFonts w:hint="eastAsia" w:ascii="宋体" w:hAnsi="宋体" w:cs="Arial"/>
          <w:sz w:val="24"/>
        </w:rPr>
        <w:t>审计委员会下设工作组为日常办事机构, 负责日常工作联络和会议组织等工作。</w:t>
      </w:r>
    </w:p>
    <w:p w14:paraId="4A15EA77">
      <w:pPr>
        <w:tabs>
          <w:tab w:val="right" w:pos="9070"/>
        </w:tabs>
        <w:spacing w:line="312" w:lineRule="auto"/>
        <w:ind w:firstLine="480"/>
        <w:rPr>
          <w:rFonts w:hint="eastAsia" w:ascii="宋体" w:hAnsi="宋体" w:cs="Arial"/>
          <w:sz w:val="24"/>
        </w:rPr>
      </w:pPr>
    </w:p>
    <w:p w14:paraId="57AD889C">
      <w:pPr>
        <w:tabs>
          <w:tab w:val="right" w:pos="9070"/>
        </w:tabs>
        <w:spacing w:line="312" w:lineRule="auto"/>
        <w:ind w:firstLine="480"/>
        <w:jc w:val="center"/>
        <w:rPr>
          <w:rFonts w:hint="eastAsia" w:ascii="宋体" w:hAnsi="宋体" w:cs="Arial"/>
          <w:b/>
          <w:bCs/>
          <w:sz w:val="24"/>
        </w:rPr>
      </w:pPr>
      <w:r>
        <w:rPr>
          <w:rFonts w:hint="eastAsia" w:ascii="宋体" w:hAnsi="宋体" w:cs="Arial"/>
          <w:b/>
          <w:bCs/>
          <w:sz w:val="24"/>
        </w:rPr>
        <w:t>第三章  职责权限</w:t>
      </w:r>
    </w:p>
    <w:p w14:paraId="69460DB3">
      <w:pPr>
        <w:tabs>
          <w:tab w:val="right" w:pos="9070"/>
        </w:tabs>
        <w:spacing w:line="300" w:lineRule="auto"/>
        <w:ind w:firstLine="480"/>
        <w:rPr>
          <w:rFonts w:hint="eastAsia" w:ascii="宋体" w:hAnsi="宋体" w:cs="Arial"/>
          <w:sz w:val="24"/>
        </w:rPr>
      </w:pPr>
    </w:p>
    <w:p w14:paraId="02FDA6BD">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第八条</w:t>
      </w:r>
      <w:r>
        <w:rPr>
          <w:rFonts w:hint="eastAsia" w:ascii="宋体" w:hAnsi="宋体" w:cs="Arial"/>
          <w:sz w:val="24"/>
        </w:rPr>
        <w:tab/>
      </w:r>
      <w:r>
        <w:rPr>
          <w:rFonts w:hint="eastAsia" w:ascii="宋体" w:hAnsi="宋体" w:cs="Arial"/>
          <w:sz w:val="24"/>
        </w:rPr>
        <w:t>审计委员会负责审核公司财务信息及其披露、监督及评估内外部审计工作和内部控制, 下列事项应当经审计委员会全体成员过半数同意后, 方可提交董事会审议:</w:t>
      </w:r>
    </w:p>
    <w:p w14:paraId="64B35E89">
      <w:pPr>
        <w:numPr>
          <w:ilvl w:val="0"/>
          <w:numId w:val="1"/>
        </w:numPr>
        <w:tabs>
          <w:tab w:val="right" w:pos="2160"/>
        </w:tabs>
        <w:adjustRightInd w:val="0"/>
        <w:spacing w:line="300" w:lineRule="auto"/>
        <w:ind w:hanging="30"/>
        <w:textAlignment w:val="baseline"/>
        <w:rPr>
          <w:rFonts w:hint="eastAsia" w:ascii="宋体" w:hAnsi="宋体" w:cs="Arial"/>
          <w:sz w:val="24"/>
        </w:rPr>
      </w:pPr>
      <w:r>
        <w:rPr>
          <w:rFonts w:hint="eastAsia" w:ascii="宋体" w:hAnsi="宋体" w:cs="Arial"/>
          <w:sz w:val="24"/>
        </w:rPr>
        <w:t>披露财务会计报告及定期报告中的财务信息、内部控制评价报告;</w:t>
      </w:r>
    </w:p>
    <w:p w14:paraId="6E3734CE">
      <w:pPr>
        <w:numPr>
          <w:ilvl w:val="0"/>
          <w:numId w:val="1"/>
        </w:numPr>
        <w:tabs>
          <w:tab w:val="right" w:pos="2160"/>
        </w:tabs>
        <w:adjustRightInd w:val="0"/>
        <w:spacing w:line="300" w:lineRule="auto"/>
        <w:ind w:hanging="30"/>
        <w:textAlignment w:val="baseline"/>
        <w:rPr>
          <w:rFonts w:hint="eastAsia" w:ascii="宋体" w:hAnsi="宋体" w:cs="Arial"/>
          <w:sz w:val="24"/>
        </w:rPr>
      </w:pPr>
      <w:r>
        <w:rPr>
          <w:rFonts w:hint="eastAsia" w:ascii="宋体" w:hAnsi="宋体" w:cs="Arial"/>
          <w:sz w:val="24"/>
        </w:rPr>
        <w:t>聘用或者解聘承办上市公司审计业务的会计师事务所;</w:t>
      </w:r>
    </w:p>
    <w:p w14:paraId="7C372462">
      <w:pPr>
        <w:numPr>
          <w:ilvl w:val="0"/>
          <w:numId w:val="1"/>
        </w:numPr>
        <w:tabs>
          <w:tab w:val="right" w:pos="2160"/>
        </w:tabs>
        <w:adjustRightInd w:val="0"/>
        <w:spacing w:line="300" w:lineRule="auto"/>
        <w:ind w:hanging="30"/>
        <w:textAlignment w:val="baseline"/>
        <w:rPr>
          <w:rFonts w:hint="eastAsia" w:ascii="宋体" w:hAnsi="宋体" w:cs="Arial"/>
          <w:sz w:val="24"/>
        </w:rPr>
      </w:pPr>
      <w:r>
        <w:rPr>
          <w:rFonts w:hint="eastAsia" w:ascii="宋体" w:hAnsi="宋体" w:cs="Arial"/>
          <w:sz w:val="24"/>
        </w:rPr>
        <w:t>聘任或者解聘上市公司财务负责人;</w:t>
      </w:r>
    </w:p>
    <w:p w14:paraId="5D80E12C">
      <w:pPr>
        <w:numPr>
          <w:ilvl w:val="0"/>
          <w:numId w:val="1"/>
        </w:numPr>
        <w:tabs>
          <w:tab w:val="right" w:pos="2160"/>
        </w:tabs>
        <w:adjustRightInd w:val="0"/>
        <w:spacing w:line="300" w:lineRule="auto"/>
        <w:ind w:hanging="30"/>
        <w:textAlignment w:val="baseline"/>
        <w:rPr>
          <w:rFonts w:hint="eastAsia" w:ascii="宋体" w:hAnsi="宋体" w:cs="Arial"/>
          <w:sz w:val="24"/>
        </w:rPr>
      </w:pPr>
      <w:r>
        <w:rPr>
          <w:rFonts w:hint="eastAsia" w:ascii="宋体" w:hAnsi="宋体" w:cs="Arial"/>
          <w:sz w:val="24"/>
        </w:rPr>
        <w:t>因会计准则变更以外的原因作出会计政策、会计估计变更或者重大会计差错更正;</w:t>
      </w:r>
    </w:p>
    <w:p w14:paraId="7311A44F">
      <w:pPr>
        <w:numPr>
          <w:ilvl w:val="0"/>
          <w:numId w:val="1"/>
        </w:numPr>
        <w:tabs>
          <w:tab w:val="right" w:pos="2160"/>
        </w:tabs>
        <w:adjustRightInd w:val="0"/>
        <w:spacing w:line="300" w:lineRule="auto"/>
        <w:ind w:hanging="30"/>
        <w:textAlignment w:val="baseline"/>
        <w:rPr>
          <w:rFonts w:hint="eastAsia" w:ascii="宋体" w:hAnsi="宋体" w:cs="Arial"/>
          <w:sz w:val="24"/>
        </w:rPr>
      </w:pPr>
      <w:r>
        <w:rPr>
          <w:rFonts w:hint="eastAsia" w:ascii="宋体" w:hAnsi="宋体" w:cs="Arial"/>
          <w:sz w:val="24"/>
        </w:rPr>
        <w:t>法律、行政法规、中国证监会、深圳证券交易所规定和公司章程规定的其他事项。</w:t>
      </w:r>
    </w:p>
    <w:p w14:paraId="633A2994">
      <w:pPr>
        <w:tabs>
          <w:tab w:val="right" w:pos="9070"/>
        </w:tabs>
        <w:spacing w:line="300" w:lineRule="auto"/>
        <w:rPr>
          <w:rFonts w:hint="eastAsia" w:ascii="宋体" w:hAnsi="宋体" w:cs="Arial"/>
          <w:sz w:val="24"/>
        </w:rPr>
      </w:pPr>
    </w:p>
    <w:p w14:paraId="5E36B9F2">
      <w:pPr>
        <w:tabs>
          <w:tab w:val="left" w:pos="1620"/>
        </w:tabs>
        <w:spacing w:line="300" w:lineRule="auto"/>
        <w:ind w:left="1502" w:hanging="1502" w:hangingChars="626"/>
        <w:rPr>
          <w:rFonts w:ascii="宋体" w:hAnsi="宋体" w:cs="Arial"/>
          <w:sz w:val="24"/>
        </w:rPr>
      </w:pPr>
      <w:r>
        <w:rPr>
          <w:rFonts w:hint="eastAsia" w:ascii="宋体" w:hAnsi="宋体" w:cs="Arial"/>
          <w:sz w:val="24"/>
        </w:rPr>
        <w:t>第九条</w:t>
      </w:r>
      <w:r>
        <w:rPr>
          <w:rFonts w:hint="eastAsia" w:ascii="宋体" w:hAnsi="宋体" w:cs="Arial"/>
          <w:sz w:val="24"/>
        </w:rPr>
        <w:tab/>
      </w:r>
      <w:r>
        <w:rPr>
          <w:rFonts w:hint="eastAsia" w:ascii="宋体" w:hAnsi="宋体" w:cs="Arial"/>
          <w:sz w:val="24"/>
        </w:rPr>
        <w:t>审计委员会对董事会负责, 委员会的提案应提交董事会审查决定。</w:t>
      </w:r>
    </w:p>
    <w:p w14:paraId="533C4FC2">
      <w:pPr>
        <w:tabs>
          <w:tab w:val="left" w:pos="1620"/>
        </w:tabs>
        <w:spacing w:line="300" w:lineRule="auto"/>
        <w:ind w:left="1502" w:hanging="1502" w:hangingChars="626"/>
        <w:rPr>
          <w:rFonts w:ascii="宋体" w:hAnsi="宋体" w:cs="Arial"/>
          <w:sz w:val="24"/>
        </w:rPr>
      </w:pPr>
    </w:p>
    <w:p w14:paraId="7C078547">
      <w:pPr>
        <w:tabs>
          <w:tab w:val="left" w:pos="1620"/>
        </w:tabs>
        <w:spacing w:line="300" w:lineRule="auto"/>
        <w:ind w:left="1470" w:leftChars="700"/>
        <w:rPr>
          <w:rFonts w:ascii="宋体" w:hAnsi="宋体" w:cs="Arial"/>
          <w:sz w:val="24"/>
        </w:rPr>
      </w:pPr>
      <w:r>
        <w:rPr>
          <w:rFonts w:hint="eastAsia" w:ascii="宋体" w:hAnsi="宋体" w:cs="Arial"/>
          <w:sz w:val="24"/>
        </w:rPr>
        <w:t>审计委员会成员应当勤勉尽责, 切实有效地监督、评估公司内外部审计工作, 促进公司建立有效的内部控制并提供真实、准确、完整的财务报告。</w:t>
      </w:r>
    </w:p>
    <w:p w14:paraId="66595C47">
      <w:pPr>
        <w:tabs>
          <w:tab w:val="left" w:pos="1620"/>
        </w:tabs>
        <w:spacing w:line="300" w:lineRule="auto"/>
        <w:ind w:left="1470" w:leftChars="700"/>
        <w:rPr>
          <w:rFonts w:ascii="宋体" w:hAnsi="宋体" w:cs="Arial"/>
          <w:sz w:val="24"/>
        </w:rPr>
      </w:pPr>
    </w:p>
    <w:p w14:paraId="5CCF1724">
      <w:pPr>
        <w:tabs>
          <w:tab w:val="left" w:pos="1620"/>
        </w:tabs>
        <w:spacing w:line="300" w:lineRule="auto"/>
        <w:ind w:left="1470" w:leftChars="700"/>
        <w:rPr>
          <w:rFonts w:ascii="宋体" w:hAnsi="宋体" w:cs="Arial"/>
          <w:sz w:val="24"/>
        </w:rPr>
      </w:pPr>
      <w:r>
        <w:rPr>
          <w:rFonts w:hint="eastAsia" w:ascii="宋体" w:hAnsi="宋体" w:cs="Arial"/>
          <w:sz w:val="24"/>
        </w:rPr>
        <w:t>审计委员会依法检查公司财务，对公司董事、高级管理人员遵守法律法规、本规则、深圳证券交易所其他规定和《公司章程》以及执行公司职务的行为进行监督， 可以要求董事、高级管理人员提交执行职务的报告。董事、高级管理人员应当如实向审计委员会提供有关情况和材料，不得妨碍审计委员会行使职权。</w:t>
      </w:r>
    </w:p>
    <w:p w14:paraId="2C29BE59">
      <w:pPr>
        <w:tabs>
          <w:tab w:val="left" w:pos="1620"/>
        </w:tabs>
        <w:spacing w:line="300" w:lineRule="auto"/>
        <w:ind w:left="1470" w:leftChars="700"/>
        <w:rPr>
          <w:rFonts w:hint="eastAsia" w:ascii="宋体" w:hAnsi="宋体" w:cs="Arial"/>
          <w:sz w:val="24"/>
        </w:rPr>
      </w:pPr>
    </w:p>
    <w:p w14:paraId="38AF591A">
      <w:pPr>
        <w:tabs>
          <w:tab w:val="left" w:pos="1620"/>
        </w:tabs>
        <w:spacing w:line="300" w:lineRule="auto"/>
        <w:ind w:left="1470" w:leftChars="700"/>
        <w:rPr>
          <w:rFonts w:ascii="宋体" w:hAnsi="宋体" w:cs="Arial"/>
          <w:sz w:val="24"/>
        </w:rPr>
      </w:pPr>
      <w:r>
        <w:rPr>
          <w:rFonts w:hint="eastAsia" w:ascii="宋体" w:hAnsi="宋体" w:cs="Arial"/>
          <w:sz w:val="24"/>
        </w:rPr>
        <w:t>审计委员会发现董事、高级管理人员违反法律法规、深圳证券交易所相关规定或者《公司章程》的，应当向董事会通报或者向股东会报告，并及时披露，也可以直接向监管机构报告。审计委员会行使职权所必需的费用，由公司承担。</w:t>
      </w:r>
    </w:p>
    <w:p w14:paraId="3D42593A">
      <w:pPr>
        <w:tabs>
          <w:tab w:val="left" w:pos="1620"/>
        </w:tabs>
        <w:spacing w:line="300" w:lineRule="auto"/>
        <w:ind w:left="1470" w:leftChars="700"/>
        <w:rPr>
          <w:rFonts w:hint="eastAsia" w:ascii="宋体" w:hAnsi="宋体" w:cs="Arial"/>
          <w:sz w:val="24"/>
        </w:rPr>
      </w:pPr>
    </w:p>
    <w:p w14:paraId="47C3F3C2">
      <w:pPr>
        <w:tabs>
          <w:tab w:val="left" w:pos="1620"/>
        </w:tabs>
        <w:spacing w:line="300" w:lineRule="auto"/>
        <w:ind w:left="1470" w:leftChars="700"/>
        <w:rPr>
          <w:rFonts w:hint="eastAsia" w:ascii="宋体" w:hAnsi="宋体" w:cs="Arial"/>
          <w:sz w:val="24"/>
        </w:rPr>
      </w:pPr>
      <w:r>
        <w:rPr>
          <w:rFonts w:hint="eastAsia" w:ascii="宋体" w:hAnsi="宋体" w:cs="Arial"/>
          <w:sz w:val="24"/>
        </w:rPr>
        <w:t>审计委员会在履行监督职责过程中，对违反法律法规、本指引、深圳证券交易所相关规定、公司章程或者股东会决议的董事、高级管理人员，可以提出罢免的建议。</w:t>
      </w:r>
    </w:p>
    <w:p w14:paraId="2DFAE2C1">
      <w:pPr>
        <w:tabs>
          <w:tab w:val="right" w:pos="9070"/>
        </w:tabs>
        <w:spacing w:line="300" w:lineRule="auto"/>
        <w:ind w:firstLine="480"/>
        <w:rPr>
          <w:rFonts w:hint="eastAsia" w:ascii="宋体" w:hAnsi="宋体" w:cs="Arial"/>
          <w:sz w:val="24"/>
        </w:rPr>
      </w:pPr>
    </w:p>
    <w:p w14:paraId="08F53495">
      <w:pPr>
        <w:tabs>
          <w:tab w:val="right" w:pos="9070"/>
        </w:tabs>
        <w:spacing w:line="300" w:lineRule="auto"/>
        <w:ind w:firstLine="480"/>
        <w:jc w:val="center"/>
        <w:rPr>
          <w:rFonts w:hint="eastAsia" w:ascii="宋体" w:hAnsi="宋体" w:cs="Arial"/>
          <w:b/>
          <w:bCs/>
          <w:sz w:val="24"/>
        </w:rPr>
      </w:pPr>
      <w:r>
        <w:rPr>
          <w:rFonts w:hint="eastAsia" w:ascii="宋体" w:hAnsi="宋体" w:cs="Arial"/>
          <w:b/>
          <w:bCs/>
          <w:sz w:val="24"/>
        </w:rPr>
        <w:t>第四章  决策程序</w:t>
      </w:r>
    </w:p>
    <w:p w14:paraId="4CE8C39F">
      <w:pPr>
        <w:tabs>
          <w:tab w:val="right" w:pos="9070"/>
        </w:tabs>
        <w:spacing w:line="300" w:lineRule="auto"/>
        <w:ind w:firstLine="480"/>
        <w:rPr>
          <w:rFonts w:hint="eastAsia" w:ascii="宋体" w:hAnsi="宋体" w:cs="Arial"/>
          <w:sz w:val="24"/>
        </w:rPr>
      </w:pPr>
    </w:p>
    <w:p w14:paraId="2213F1E4">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第十条</w:t>
      </w:r>
      <w:r>
        <w:rPr>
          <w:rFonts w:hint="eastAsia" w:ascii="宋体" w:hAnsi="宋体" w:cs="Arial"/>
          <w:sz w:val="24"/>
        </w:rPr>
        <w:tab/>
      </w:r>
      <w:r>
        <w:rPr>
          <w:rFonts w:hint="eastAsia" w:ascii="宋体" w:hAnsi="宋体" w:cs="Arial"/>
          <w:sz w:val="24"/>
        </w:rPr>
        <w:t>审计工作组负责做好审计委员会决策的前期准备工作, 提供公司有关方面的书面资料:</w:t>
      </w:r>
    </w:p>
    <w:p w14:paraId="25F71BF2">
      <w:pPr>
        <w:numPr>
          <w:ilvl w:val="0"/>
          <w:numId w:val="2"/>
        </w:numPr>
        <w:tabs>
          <w:tab w:val="lef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公司相关财务报告;</w:t>
      </w:r>
    </w:p>
    <w:p w14:paraId="4AED699C">
      <w:pPr>
        <w:numPr>
          <w:ilvl w:val="0"/>
          <w:numId w:val="2"/>
        </w:numPr>
        <w:tabs>
          <w:tab w:val="lef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内外部审计机构的工作报告;</w:t>
      </w:r>
    </w:p>
    <w:p w14:paraId="03AA7B1F">
      <w:pPr>
        <w:numPr>
          <w:ilvl w:val="0"/>
          <w:numId w:val="2"/>
        </w:numPr>
        <w:tabs>
          <w:tab w:val="lef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外部审计合同及相关工作报告;</w:t>
      </w:r>
    </w:p>
    <w:p w14:paraId="260B58A0">
      <w:pPr>
        <w:numPr>
          <w:ilvl w:val="0"/>
          <w:numId w:val="2"/>
        </w:numPr>
        <w:tabs>
          <w:tab w:val="lef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公司对外披露信息情况;</w:t>
      </w:r>
    </w:p>
    <w:p w14:paraId="1A7CB014">
      <w:pPr>
        <w:numPr>
          <w:ilvl w:val="0"/>
          <w:numId w:val="2"/>
        </w:numPr>
        <w:tabs>
          <w:tab w:val="lef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公司重大关联交易审计情况;</w:t>
      </w:r>
    </w:p>
    <w:p w14:paraId="701148EF">
      <w:pPr>
        <w:numPr>
          <w:ilvl w:val="0"/>
          <w:numId w:val="2"/>
        </w:numPr>
        <w:tabs>
          <w:tab w:val="lef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其他相关事宜。</w:t>
      </w:r>
    </w:p>
    <w:p w14:paraId="673FC394">
      <w:pPr>
        <w:tabs>
          <w:tab w:val="left" w:pos="1620"/>
        </w:tabs>
        <w:spacing w:line="300" w:lineRule="auto"/>
        <w:ind w:left="1502" w:hanging="1502" w:hangingChars="626"/>
        <w:rPr>
          <w:rFonts w:hint="eastAsia" w:ascii="宋体" w:hAnsi="宋体" w:cs="Arial"/>
          <w:sz w:val="24"/>
        </w:rPr>
      </w:pPr>
    </w:p>
    <w:p w14:paraId="4278D69C">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第十一条</w:t>
      </w:r>
      <w:r>
        <w:rPr>
          <w:rFonts w:hint="eastAsia" w:ascii="宋体" w:hAnsi="宋体" w:cs="Arial"/>
          <w:sz w:val="24"/>
        </w:rPr>
        <w:tab/>
      </w:r>
      <w:r>
        <w:rPr>
          <w:rFonts w:hint="eastAsia" w:ascii="宋体" w:hAnsi="宋体" w:cs="Arial"/>
          <w:sz w:val="24"/>
        </w:rPr>
        <w:t>审计委员会会议应对审计工作组提供的报告进行评议, 并将有关书面决议材料呈报董事会讨论。</w:t>
      </w:r>
    </w:p>
    <w:p w14:paraId="08B0509B">
      <w:pPr>
        <w:tabs>
          <w:tab w:val="left" w:pos="1620"/>
        </w:tabs>
        <w:spacing w:line="300" w:lineRule="auto"/>
        <w:ind w:left="1502" w:hanging="1502" w:hangingChars="626"/>
        <w:rPr>
          <w:rFonts w:hint="eastAsia" w:ascii="宋体" w:hAnsi="宋体" w:cs="Arial"/>
          <w:sz w:val="24"/>
        </w:rPr>
      </w:pPr>
    </w:p>
    <w:p w14:paraId="077DBE8B">
      <w:pPr>
        <w:numPr>
          <w:ilvl w:val="0"/>
          <w:numId w:val="3"/>
        </w:numPr>
        <w:tabs>
          <w:tab w:val="righ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对外部审计机构工作评价, 外部审计机构的聘请及更换;</w:t>
      </w:r>
    </w:p>
    <w:p w14:paraId="34D09EC8">
      <w:pPr>
        <w:numPr>
          <w:ilvl w:val="0"/>
          <w:numId w:val="3"/>
        </w:numPr>
        <w:tabs>
          <w:tab w:val="right" w:pos="2160"/>
          <w:tab w:val="clear" w:pos="975"/>
        </w:tabs>
        <w:adjustRightInd w:val="0"/>
        <w:spacing w:line="300" w:lineRule="auto"/>
        <w:ind w:left="2160" w:hanging="720"/>
        <w:textAlignment w:val="baseline"/>
        <w:rPr>
          <w:rFonts w:hint="eastAsia" w:ascii="宋体" w:hAnsi="宋体" w:cs="Arial"/>
          <w:sz w:val="24"/>
        </w:rPr>
      </w:pPr>
      <w:r>
        <w:rPr>
          <w:rFonts w:hint="eastAsia" w:ascii="宋体" w:hAnsi="宋体" w:cs="Arial"/>
          <w:sz w:val="24"/>
        </w:rPr>
        <w:t>公司内部审计制度是否已得到有效实施, 公司财务报告是否全面真实;</w:t>
      </w:r>
    </w:p>
    <w:p w14:paraId="263E96D1">
      <w:pPr>
        <w:numPr>
          <w:ilvl w:val="0"/>
          <w:numId w:val="3"/>
        </w:numPr>
        <w:tabs>
          <w:tab w:val="right" w:pos="2160"/>
          <w:tab w:val="clear" w:pos="975"/>
        </w:tabs>
        <w:adjustRightInd w:val="0"/>
        <w:spacing w:line="300" w:lineRule="auto"/>
        <w:ind w:left="2160" w:hanging="720"/>
        <w:textAlignment w:val="baseline"/>
        <w:rPr>
          <w:rFonts w:hint="eastAsia" w:ascii="宋体" w:hAnsi="宋体" w:cs="Arial"/>
          <w:sz w:val="24"/>
        </w:rPr>
      </w:pPr>
      <w:r>
        <w:rPr>
          <w:rFonts w:hint="eastAsia" w:ascii="宋体" w:hAnsi="宋体" w:cs="Arial"/>
          <w:sz w:val="24"/>
        </w:rPr>
        <w:t>公司的对外披露的财务报告等信息是否客观真实, 公司重大的关联交易是否合乎相关法律法规</w:t>
      </w:r>
      <w:r>
        <w:rPr>
          <w:rFonts w:ascii="宋体" w:hAnsi="宋体" w:cs="Arial"/>
          <w:sz w:val="24"/>
        </w:rPr>
        <w:t>;</w:t>
      </w:r>
    </w:p>
    <w:p w14:paraId="222E2AE2">
      <w:pPr>
        <w:numPr>
          <w:ilvl w:val="0"/>
          <w:numId w:val="3"/>
        </w:numPr>
        <w:tabs>
          <w:tab w:val="righ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对公司内部财务部门、审计部门包括其负责人的工作评价;</w:t>
      </w:r>
    </w:p>
    <w:p w14:paraId="77E90A79">
      <w:pPr>
        <w:numPr>
          <w:ilvl w:val="0"/>
          <w:numId w:val="3"/>
        </w:numPr>
        <w:tabs>
          <w:tab w:val="right" w:pos="2160"/>
          <w:tab w:val="clear" w:pos="975"/>
        </w:tabs>
        <w:adjustRightInd w:val="0"/>
        <w:spacing w:line="300" w:lineRule="auto"/>
        <w:ind w:firstLine="465"/>
        <w:textAlignment w:val="baseline"/>
        <w:rPr>
          <w:rFonts w:hint="eastAsia" w:ascii="宋体" w:hAnsi="宋体" w:cs="Arial"/>
          <w:sz w:val="24"/>
        </w:rPr>
      </w:pPr>
      <w:r>
        <w:rPr>
          <w:rFonts w:hint="eastAsia" w:ascii="宋体" w:hAnsi="宋体" w:cs="Arial"/>
          <w:sz w:val="24"/>
        </w:rPr>
        <w:t>其他相关事宜。</w:t>
      </w:r>
    </w:p>
    <w:p w14:paraId="28D25EB3">
      <w:pPr>
        <w:tabs>
          <w:tab w:val="right" w:pos="9070"/>
        </w:tabs>
        <w:spacing w:line="300" w:lineRule="auto"/>
        <w:ind w:firstLine="480"/>
        <w:rPr>
          <w:rFonts w:hint="eastAsia" w:ascii="宋体" w:hAnsi="宋体" w:cs="Arial"/>
          <w:sz w:val="24"/>
        </w:rPr>
      </w:pPr>
    </w:p>
    <w:p w14:paraId="1C851453">
      <w:pPr>
        <w:tabs>
          <w:tab w:val="right" w:pos="9070"/>
        </w:tabs>
        <w:spacing w:line="300" w:lineRule="auto"/>
        <w:ind w:firstLine="480"/>
        <w:jc w:val="center"/>
        <w:rPr>
          <w:rFonts w:hint="eastAsia" w:ascii="宋体" w:hAnsi="宋体" w:cs="Arial"/>
          <w:b/>
          <w:bCs/>
          <w:sz w:val="24"/>
        </w:rPr>
      </w:pPr>
      <w:r>
        <w:rPr>
          <w:rFonts w:hint="eastAsia" w:ascii="宋体" w:hAnsi="宋体" w:cs="Arial"/>
          <w:b/>
          <w:bCs/>
          <w:sz w:val="24"/>
        </w:rPr>
        <w:t>第五章  议事程序</w:t>
      </w:r>
    </w:p>
    <w:p w14:paraId="6AF24B02">
      <w:pPr>
        <w:tabs>
          <w:tab w:val="right" w:pos="9070"/>
        </w:tabs>
        <w:spacing w:line="300" w:lineRule="auto"/>
        <w:ind w:firstLine="480"/>
        <w:rPr>
          <w:rFonts w:hint="eastAsia" w:ascii="宋体" w:hAnsi="宋体" w:cs="Arial"/>
          <w:sz w:val="24"/>
        </w:rPr>
      </w:pPr>
    </w:p>
    <w:p w14:paraId="4F604489">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第十二条</w:t>
      </w:r>
      <w:r>
        <w:rPr>
          <w:rFonts w:hint="eastAsia" w:ascii="宋体" w:hAnsi="宋体" w:cs="Arial"/>
          <w:sz w:val="24"/>
        </w:rPr>
        <w:tab/>
      </w:r>
      <w:r>
        <w:rPr>
          <w:rFonts w:hint="eastAsia" w:ascii="宋体" w:hAnsi="宋体" w:cs="Arial"/>
          <w:sz w:val="24"/>
        </w:rPr>
        <w:t>审计委员会会议分为例会和临时会议。例会每年至少召开一次, 临时会议由审计委员会委员提议召开。例会于会议召开前七日(不包括开会当日)通知全体委员, 临时会议于会议召开前两日(不包括开会当日)通知全体委员,</w:t>
      </w:r>
      <w:r>
        <w:rPr>
          <w:rFonts w:ascii="宋体" w:hAnsi="宋体" w:cs="Arial"/>
          <w:sz w:val="24"/>
        </w:rPr>
        <w:t xml:space="preserve"> </w:t>
      </w:r>
      <w:r>
        <w:rPr>
          <w:rFonts w:hint="eastAsia" w:ascii="宋体" w:hAnsi="宋体" w:cs="Arial"/>
          <w:sz w:val="24"/>
        </w:rPr>
        <w:t>经全体委员一致同意, 可免除前述通知期限要求。会议由主任委员主持, 主任委员不能出席时可委托其他一名委员(独立董事)主持。</w:t>
      </w:r>
    </w:p>
    <w:p w14:paraId="4ABE532E">
      <w:pPr>
        <w:tabs>
          <w:tab w:val="right" w:pos="9070"/>
        </w:tabs>
        <w:spacing w:line="300" w:lineRule="auto"/>
        <w:ind w:firstLine="480"/>
        <w:rPr>
          <w:rFonts w:hint="eastAsia" w:ascii="宋体" w:hAnsi="宋体" w:cs="Arial"/>
          <w:sz w:val="24"/>
        </w:rPr>
      </w:pPr>
    </w:p>
    <w:p w14:paraId="3593366E">
      <w:pPr>
        <w:tabs>
          <w:tab w:val="left" w:pos="1620"/>
        </w:tabs>
        <w:spacing w:line="300" w:lineRule="auto"/>
        <w:ind w:left="1502" w:hanging="1502" w:hangingChars="626"/>
        <w:rPr>
          <w:rFonts w:ascii="宋体" w:hAnsi="宋体" w:cs="Arial"/>
          <w:sz w:val="24"/>
        </w:rPr>
      </w:pPr>
      <w:r>
        <w:rPr>
          <w:rFonts w:hint="eastAsia" w:ascii="宋体" w:hAnsi="宋体" w:cs="Arial"/>
          <w:sz w:val="24"/>
        </w:rPr>
        <w:t>第十三条</w:t>
      </w:r>
      <w:r>
        <w:rPr>
          <w:rFonts w:hint="eastAsia" w:ascii="宋体" w:hAnsi="宋体" w:cs="Arial"/>
          <w:sz w:val="24"/>
        </w:rPr>
        <w:tab/>
      </w:r>
      <w:r>
        <w:rPr>
          <w:rFonts w:hint="eastAsia" w:ascii="宋体" w:hAnsi="宋体" w:cs="Arial"/>
          <w:sz w:val="24"/>
        </w:rPr>
        <w:t>审计委员会会议应由三分之二以上的委员出席方可举行; 每一名委员有一票的表决权; 会议做出的决议, 必须经全体委员(包括未出席会议的委员)的过半数通过。</w:t>
      </w:r>
    </w:p>
    <w:p w14:paraId="769F051A">
      <w:pPr>
        <w:tabs>
          <w:tab w:val="left" w:pos="1620"/>
        </w:tabs>
        <w:spacing w:line="300" w:lineRule="auto"/>
        <w:ind w:left="1502" w:hanging="1502" w:hangingChars="626"/>
        <w:rPr>
          <w:rFonts w:ascii="宋体" w:hAnsi="宋体" w:cs="Arial"/>
          <w:sz w:val="24"/>
        </w:rPr>
      </w:pPr>
    </w:p>
    <w:p w14:paraId="3BCF6E0E">
      <w:pPr>
        <w:tabs>
          <w:tab w:val="left" w:pos="1620"/>
        </w:tabs>
        <w:spacing w:line="300" w:lineRule="auto"/>
        <w:ind w:left="1470" w:leftChars="700"/>
        <w:rPr>
          <w:rFonts w:ascii="宋体" w:hAnsi="宋体" w:cs="Arial"/>
          <w:sz w:val="24"/>
        </w:rPr>
      </w:pPr>
      <w:r>
        <w:rPr>
          <w:rFonts w:hint="eastAsia" w:ascii="宋体" w:hAnsi="宋体" w:cs="Arial"/>
          <w:sz w:val="24"/>
        </w:rPr>
        <w:t>审计委员会定期会议应采用现场会议的形式。临时会议既可采用现场会议形式, 也可采用非现场会议的通讯表决方式。</w:t>
      </w:r>
    </w:p>
    <w:p w14:paraId="6B68FB6C">
      <w:pPr>
        <w:tabs>
          <w:tab w:val="left" w:pos="1620"/>
        </w:tabs>
        <w:spacing w:line="300" w:lineRule="auto"/>
        <w:ind w:left="1470" w:leftChars="700"/>
        <w:rPr>
          <w:rFonts w:ascii="宋体" w:hAnsi="宋体" w:cs="Arial"/>
          <w:sz w:val="24"/>
        </w:rPr>
      </w:pPr>
    </w:p>
    <w:p w14:paraId="140C35A4">
      <w:pPr>
        <w:tabs>
          <w:tab w:val="left" w:pos="1620"/>
        </w:tabs>
        <w:spacing w:line="300" w:lineRule="auto"/>
        <w:ind w:left="1470" w:leftChars="700"/>
        <w:rPr>
          <w:rFonts w:ascii="宋体" w:hAnsi="宋体" w:cs="Arial"/>
          <w:sz w:val="24"/>
        </w:rPr>
      </w:pPr>
      <w:r>
        <w:rPr>
          <w:rFonts w:hint="eastAsia" w:ascii="宋体" w:hAnsi="宋体" w:cs="Arial"/>
          <w:sz w:val="24"/>
        </w:rPr>
        <w:t>除《公司章程》或本工作细则另有规定外, 审计委员会临时会议在保障委员充分表达意见的前提下, 可以用传真</w:t>
      </w:r>
      <w:r>
        <w:rPr>
          <w:rFonts w:hint="eastAsia" w:ascii="宋体" w:hAnsi="宋体" w:cs="Arial"/>
          <w:kern w:val="0"/>
          <w:sz w:val="24"/>
        </w:rPr>
        <w:t>、传阅、视频、电话会议、电子邮件或通讯表决等现代通讯技术</w:t>
      </w:r>
      <w:r>
        <w:rPr>
          <w:rFonts w:hint="eastAsia" w:ascii="宋体" w:hAnsi="宋体" w:cs="Arial"/>
          <w:sz w:val="24"/>
        </w:rPr>
        <w:t>方式作出决议, 并由参会委员签字。</w:t>
      </w:r>
    </w:p>
    <w:p w14:paraId="032EB32D">
      <w:pPr>
        <w:tabs>
          <w:tab w:val="left" w:pos="1620"/>
        </w:tabs>
        <w:spacing w:line="300" w:lineRule="auto"/>
        <w:ind w:left="1470" w:leftChars="700"/>
        <w:rPr>
          <w:rFonts w:ascii="宋体" w:hAnsi="宋体" w:cs="Arial"/>
          <w:sz w:val="24"/>
        </w:rPr>
      </w:pPr>
    </w:p>
    <w:p w14:paraId="65DFDD48">
      <w:pPr>
        <w:tabs>
          <w:tab w:val="left" w:pos="1620"/>
        </w:tabs>
        <w:spacing w:line="300" w:lineRule="auto"/>
        <w:ind w:left="1470" w:leftChars="700"/>
        <w:rPr>
          <w:rFonts w:hint="eastAsia" w:ascii="宋体" w:hAnsi="宋体" w:cs="Arial"/>
          <w:sz w:val="24"/>
        </w:rPr>
      </w:pPr>
      <w:r>
        <w:rPr>
          <w:rFonts w:hint="eastAsia" w:ascii="宋体" w:hAnsi="宋体" w:cs="Arial"/>
          <w:sz w:val="24"/>
        </w:rPr>
        <w:t>如采用通讯表决方式, 则审计委员会委员在会议决议上签字者即视为出席了相关会议并同意会议决议内容。</w:t>
      </w:r>
    </w:p>
    <w:p w14:paraId="784842A4">
      <w:pPr>
        <w:tabs>
          <w:tab w:val="right" w:pos="9070"/>
        </w:tabs>
        <w:spacing w:line="300" w:lineRule="auto"/>
        <w:ind w:firstLine="480"/>
        <w:rPr>
          <w:rFonts w:hint="eastAsia" w:ascii="宋体" w:hAnsi="宋体" w:cs="Arial"/>
          <w:sz w:val="24"/>
        </w:rPr>
      </w:pPr>
    </w:p>
    <w:p w14:paraId="1247D9ED">
      <w:pPr>
        <w:tabs>
          <w:tab w:val="left" w:pos="1620"/>
        </w:tabs>
        <w:spacing w:line="300" w:lineRule="auto"/>
        <w:ind w:left="1502" w:hanging="1502" w:hangingChars="626"/>
        <w:rPr>
          <w:rFonts w:hint="eastAsia" w:ascii="宋体" w:hAnsi="宋体" w:cs="Arial"/>
          <w:b/>
          <w:bCs/>
          <w:sz w:val="24"/>
        </w:rPr>
      </w:pPr>
      <w:r>
        <w:rPr>
          <w:rFonts w:hint="eastAsia" w:ascii="宋体" w:hAnsi="宋体" w:cs="Arial"/>
          <w:sz w:val="24"/>
        </w:rPr>
        <w:t>第十四条</w:t>
      </w:r>
      <w:r>
        <w:rPr>
          <w:rFonts w:hint="eastAsia" w:ascii="宋体" w:hAnsi="宋体" w:cs="Arial"/>
          <w:sz w:val="24"/>
        </w:rPr>
        <w:tab/>
      </w:r>
      <w:r>
        <w:rPr>
          <w:rFonts w:hint="eastAsia" w:ascii="宋体" w:hAnsi="宋体" w:cs="Arial"/>
          <w:sz w:val="24"/>
        </w:rPr>
        <w:t>审计委员会会议表决方式为举手表决或投票表决; 临时会议可以采取通讯表决的方式召开。</w:t>
      </w:r>
    </w:p>
    <w:p w14:paraId="7F096F90">
      <w:pPr>
        <w:tabs>
          <w:tab w:val="right" w:pos="9070"/>
        </w:tabs>
        <w:spacing w:line="300" w:lineRule="auto"/>
        <w:ind w:firstLine="480"/>
        <w:rPr>
          <w:rFonts w:hint="eastAsia" w:ascii="宋体" w:hAnsi="宋体" w:cs="Arial"/>
          <w:sz w:val="24"/>
        </w:rPr>
      </w:pPr>
    </w:p>
    <w:p w14:paraId="384AEBF5">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第十五条</w:t>
      </w:r>
      <w:r>
        <w:rPr>
          <w:rFonts w:hint="eastAsia" w:ascii="宋体" w:hAnsi="宋体" w:cs="Arial"/>
          <w:sz w:val="24"/>
        </w:rPr>
        <w:tab/>
      </w:r>
      <w:r>
        <w:rPr>
          <w:rFonts w:hint="eastAsia" w:ascii="宋体" w:hAnsi="宋体" w:cs="Arial"/>
          <w:sz w:val="24"/>
        </w:rPr>
        <w:t>审计工作组成员可列席委员会会议, 必要时亦可邀请公司董事其他管理人员列席会议。</w:t>
      </w:r>
    </w:p>
    <w:p w14:paraId="16DDA2F7">
      <w:pPr>
        <w:tabs>
          <w:tab w:val="right" w:pos="9070"/>
        </w:tabs>
        <w:spacing w:line="300" w:lineRule="auto"/>
        <w:ind w:firstLine="480"/>
        <w:rPr>
          <w:rFonts w:hint="eastAsia" w:ascii="宋体" w:hAnsi="宋体" w:cs="Arial"/>
          <w:sz w:val="24"/>
        </w:rPr>
      </w:pPr>
    </w:p>
    <w:p w14:paraId="3A84136A">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第十六条</w:t>
      </w:r>
      <w:r>
        <w:rPr>
          <w:rFonts w:hint="eastAsia" w:ascii="宋体" w:hAnsi="宋体" w:cs="Arial"/>
          <w:sz w:val="24"/>
        </w:rPr>
        <w:tab/>
      </w:r>
      <w:r>
        <w:rPr>
          <w:rFonts w:hint="eastAsia" w:ascii="宋体" w:hAnsi="宋体" w:cs="Arial"/>
          <w:sz w:val="24"/>
        </w:rPr>
        <w:t>如有必要, 委员会可以聘请中介机构为其决策提供专业意见, 费用由公司支付。</w:t>
      </w:r>
    </w:p>
    <w:p w14:paraId="3C3251FD">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第十七条</w:t>
      </w:r>
      <w:r>
        <w:rPr>
          <w:rFonts w:hint="eastAsia" w:ascii="宋体" w:hAnsi="宋体" w:cs="Arial"/>
          <w:sz w:val="24"/>
        </w:rPr>
        <w:tab/>
      </w:r>
      <w:r>
        <w:rPr>
          <w:rFonts w:hint="eastAsia" w:ascii="宋体" w:hAnsi="宋体" w:cs="Arial"/>
          <w:sz w:val="24"/>
        </w:rPr>
        <w:t>审计委员会会议的召开程序、表决方式和会议通过的议案必须遵循有关法律、法规、《公司章程》及本办法的规定。</w:t>
      </w:r>
    </w:p>
    <w:p w14:paraId="52FF5F91">
      <w:pPr>
        <w:tabs>
          <w:tab w:val="right" w:pos="9070"/>
        </w:tabs>
        <w:spacing w:line="300" w:lineRule="auto"/>
        <w:ind w:firstLine="480"/>
        <w:rPr>
          <w:rFonts w:hint="eastAsia" w:ascii="宋体" w:hAnsi="宋体" w:cs="Arial"/>
          <w:sz w:val="24"/>
        </w:rPr>
      </w:pPr>
    </w:p>
    <w:p w14:paraId="68FEC7DB">
      <w:pPr>
        <w:tabs>
          <w:tab w:val="left" w:pos="1620"/>
        </w:tabs>
        <w:spacing w:line="300" w:lineRule="auto"/>
        <w:ind w:left="1502" w:hanging="1502" w:hangingChars="626"/>
        <w:rPr>
          <w:rFonts w:ascii="宋体" w:hAnsi="宋体" w:cs="Arial"/>
          <w:sz w:val="24"/>
        </w:rPr>
      </w:pPr>
      <w:r>
        <w:rPr>
          <w:rFonts w:hint="eastAsia" w:ascii="宋体" w:hAnsi="宋体" w:cs="Arial"/>
          <w:sz w:val="24"/>
        </w:rPr>
        <w:t>第十八条</w:t>
      </w:r>
      <w:r>
        <w:rPr>
          <w:rFonts w:hint="eastAsia" w:ascii="宋体" w:hAnsi="宋体" w:cs="Arial"/>
          <w:sz w:val="24"/>
        </w:rPr>
        <w:tab/>
      </w:r>
      <w:r>
        <w:rPr>
          <w:rFonts w:hint="eastAsia" w:ascii="宋体" w:hAnsi="宋体" w:cs="Arial"/>
          <w:sz w:val="24"/>
        </w:rPr>
        <w:t>公司董事会办公室负责发出审计委员会会议通知, 董事会办公室所发出的审计委员会会议通知应备附内容完整的议案。公司应当保存上述会议资料至少十年。</w:t>
      </w:r>
    </w:p>
    <w:p w14:paraId="54BD6D75">
      <w:pPr>
        <w:tabs>
          <w:tab w:val="left" w:pos="1620"/>
        </w:tabs>
        <w:spacing w:line="300" w:lineRule="auto"/>
        <w:ind w:left="1502" w:hanging="1502" w:hangingChars="626"/>
        <w:rPr>
          <w:rFonts w:ascii="宋体" w:hAnsi="宋体" w:cs="Arial"/>
          <w:sz w:val="24"/>
        </w:rPr>
      </w:pPr>
    </w:p>
    <w:p w14:paraId="4BCE49B9">
      <w:pPr>
        <w:tabs>
          <w:tab w:val="left" w:pos="1620"/>
        </w:tabs>
        <w:spacing w:line="300" w:lineRule="auto"/>
        <w:ind w:left="1260" w:leftChars="600"/>
        <w:rPr>
          <w:rFonts w:hint="eastAsia" w:ascii="宋体" w:hAnsi="宋体" w:cs="Arial"/>
          <w:sz w:val="24"/>
        </w:rPr>
      </w:pPr>
      <w:r>
        <w:rPr>
          <w:rFonts w:hint="eastAsia" w:ascii="宋体" w:hAnsi="宋体" w:cs="Arial"/>
          <w:sz w:val="24"/>
        </w:rPr>
        <w:t>审计委员会会议应当有记录, 出席会议的委员应当在会议记录上签名; 会议记录由董事会秘书保存。审计委员会会议记录作为公司档案由公司董事会办公室保存。在公司存续期间, 保存期不得少于十年。</w:t>
      </w:r>
    </w:p>
    <w:p w14:paraId="7E196AF5">
      <w:pPr>
        <w:tabs>
          <w:tab w:val="right" w:pos="9070"/>
        </w:tabs>
        <w:spacing w:line="300" w:lineRule="auto"/>
        <w:ind w:firstLine="480"/>
        <w:rPr>
          <w:rFonts w:hint="eastAsia" w:ascii="宋体" w:hAnsi="宋体" w:cs="Arial"/>
          <w:sz w:val="24"/>
        </w:rPr>
      </w:pPr>
      <w:bookmarkStart w:id="0" w:name="_GoBack"/>
      <w:bookmarkEnd w:id="0"/>
    </w:p>
    <w:p w14:paraId="0E782D6B">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第十九条</w:t>
      </w:r>
      <w:r>
        <w:rPr>
          <w:rFonts w:hint="eastAsia" w:ascii="宋体" w:hAnsi="宋体" w:cs="Arial"/>
          <w:sz w:val="24"/>
        </w:rPr>
        <w:tab/>
      </w:r>
      <w:r>
        <w:rPr>
          <w:rFonts w:hint="eastAsia" w:ascii="宋体" w:hAnsi="宋体" w:cs="Arial"/>
          <w:sz w:val="24"/>
        </w:rPr>
        <w:t>审计委员会会议通过的议案及表决结果, 应以书面形式报公司董事会。</w:t>
      </w:r>
    </w:p>
    <w:p w14:paraId="70E36A61">
      <w:pPr>
        <w:tabs>
          <w:tab w:val="right" w:pos="9070"/>
        </w:tabs>
        <w:spacing w:line="300" w:lineRule="auto"/>
        <w:ind w:firstLine="480"/>
        <w:rPr>
          <w:rFonts w:hint="eastAsia" w:ascii="宋体" w:hAnsi="宋体" w:cs="Arial"/>
          <w:sz w:val="24"/>
        </w:rPr>
      </w:pPr>
    </w:p>
    <w:p w14:paraId="32556784">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第二十条</w:t>
      </w:r>
      <w:r>
        <w:rPr>
          <w:rFonts w:hint="eastAsia" w:ascii="宋体" w:hAnsi="宋体" w:cs="Arial"/>
          <w:sz w:val="24"/>
        </w:rPr>
        <w:tab/>
      </w:r>
      <w:r>
        <w:rPr>
          <w:rFonts w:hint="eastAsia" w:ascii="宋体" w:hAnsi="宋体" w:cs="Arial"/>
          <w:sz w:val="24"/>
        </w:rPr>
        <w:t>出席会议的委员均对会议所议事项负有保密义务, 不得擅自披露会议有关信息。</w:t>
      </w:r>
    </w:p>
    <w:p w14:paraId="43B8FA40">
      <w:pPr>
        <w:tabs>
          <w:tab w:val="right" w:pos="9070"/>
        </w:tabs>
        <w:spacing w:line="300" w:lineRule="auto"/>
        <w:ind w:firstLine="480"/>
        <w:rPr>
          <w:rFonts w:hint="eastAsia" w:ascii="宋体" w:hAnsi="宋体" w:cs="Arial"/>
          <w:sz w:val="24"/>
        </w:rPr>
      </w:pPr>
    </w:p>
    <w:p w14:paraId="5AB45AED">
      <w:pPr>
        <w:tabs>
          <w:tab w:val="right" w:pos="9070"/>
        </w:tabs>
        <w:spacing w:line="300" w:lineRule="auto"/>
        <w:ind w:firstLine="480"/>
        <w:jc w:val="center"/>
        <w:rPr>
          <w:rFonts w:hint="eastAsia" w:ascii="宋体" w:hAnsi="宋体" w:cs="Arial"/>
          <w:b/>
          <w:bCs/>
          <w:sz w:val="24"/>
        </w:rPr>
      </w:pPr>
      <w:r>
        <w:rPr>
          <w:rFonts w:hint="eastAsia" w:ascii="宋体" w:hAnsi="宋体" w:cs="Arial"/>
          <w:b/>
          <w:bCs/>
          <w:sz w:val="24"/>
        </w:rPr>
        <w:t>第六章  附则</w:t>
      </w:r>
    </w:p>
    <w:p w14:paraId="1298CB6D">
      <w:pPr>
        <w:tabs>
          <w:tab w:val="right" w:pos="9070"/>
        </w:tabs>
        <w:spacing w:line="300" w:lineRule="auto"/>
        <w:ind w:firstLine="480" w:firstLineChars="200"/>
        <w:rPr>
          <w:rFonts w:hint="eastAsia" w:ascii="宋体" w:hAnsi="宋体" w:cs="Arial"/>
          <w:sz w:val="24"/>
        </w:rPr>
      </w:pPr>
    </w:p>
    <w:p w14:paraId="48D8BEF7">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第二十一条</w:t>
      </w:r>
      <w:r>
        <w:rPr>
          <w:rFonts w:hint="eastAsia" w:ascii="宋体" w:hAnsi="宋体" w:cs="Arial"/>
          <w:sz w:val="24"/>
        </w:rPr>
        <w:tab/>
      </w:r>
      <w:r>
        <w:rPr>
          <w:rFonts w:hint="eastAsia" w:ascii="宋体" w:hAnsi="宋体" w:cs="Arial"/>
          <w:sz w:val="24"/>
        </w:rPr>
        <w:t>本工作细则自董事会决议通过之日起生效执行。</w:t>
      </w:r>
    </w:p>
    <w:p w14:paraId="1B7C66D3">
      <w:pPr>
        <w:tabs>
          <w:tab w:val="right" w:pos="9070"/>
        </w:tabs>
        <w:spacing w:line="300" w:lineRule="auto"/>
        <w:rPr>
          <w:rFonts w:hint="eastAsia" w:ascii="宋体" w:hAnsi="宋体" w:cs="Arial"/>
          <w:sz w:val="24"/>
        </w:rPr>
      </w:pPr>
    </w:p>
    <w:p w14:paraId="49472B02">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第二十二条</w:t>
      </w:r>
      <w:r>
        <w:rPr>
          <w:rFonts w:hint="eastAsia" w:ascii="宋体" w:hAnsi="宋体" w:cs="Arial"/>
          <w:sz w:val="24"/>
        </w:rPr>
        <w:tab/>
      </w:r>
      <w:r>
        <w:rPr>
          <w:rFonts w:hint="eastAsia" w:ascii="宋体" w:hAnsi="宋体" w:cs="Arial"/>
          <w:sz w:val="24"/>
        </w:rPr>
        <w:t>本工作细则未尽事宜, 按国家有关法律、</w:t>
      </w:r>
      <w:r>
        <w:rPr>
          <w:rFonts w:hint="eastAsia" w:ascii="宋体" w:hAnsi="宋体" w:cs="Arial"/>
          <w:sz w:val="24"/>
          <w:lang w:val="en-US" w:eastAsia="zh-CN"/>
        </w:rPr>
        <w:t>法规</w:t>
      </w:r>
      <w:r>
        <w:rPr>
          <w:rFonts w:hint="eastAsia" w:ascii="宋体" w:hAnsi="宋体" w:cs="Arial"/>
          <w:sz w:val="24"/>
        </w:rPr>
        <w:t>和《公司章程》的规定执行; 本工作细则如与日后颁布的法律、法规或经合法程序修改后的《公司章程》相抵触时, 按有关法律、法规和《公司章程》的规定执行, 并立即修订, 报董事会审议通过。</w:t>
      </w:r>
    </w:p>
    <w:p w14:paraId="77EC04C8">
      <w:pPr>
        <w:tabs>
          <w:tab w:val="right" w:pos="9070"/>
        </w:tabs>
        <w:spacing w:line="300" w:lineRule="auto"/>
        <w:rPr>
          <w:rFonts w:hint="eastAsia" w:ascii="宋体" w:hAnsi="宋体" w:cs="Arial"/>
          <w:sz w:val="24"/>
        </w:rPr>
      </w:pPr>
    </w:p>
    <w:p w14:paraId="1AAB4867">
      <w:pPr>
        <w:tabs>
          <w:tab w:val="left" w:pos="1620"/>
        </w:tabs>
        <w:spacing w:line="300" w:lineRule="auto"/>
        <w:ind w:left="1502" w:hanging="1502" w:hangingChars="626"/>
        <w:rPr>
          <w:rFonts w:hint="eastAsia" w:ascii="宋体" w:hAnsi="宋体" w:cs="Arial"/>
          <w:sz w:val="24"/>
        </w:rPr>
      </w:pPr>
      <w:r>
        <w:rPr>
          <w:rFonts w:hint="eastAsia" w:ascii="宋体" w:hAnsi="宋体" w:cs="Arial"/>
          <w:sz w:val="24"/>
        </w:rPr>
        <w:t>第二十三条</w:t>
      </w:r>
      <w:r>
        <w:rPr>
          <w:rFonts w:hint="eastAsia" w:ascii="宋体" w:hAnsi="宋体" w:cs="Arial"/>
          <w:sz w:val="24"/>
        </w:rPr>
        <w:tab/>
      </w:r>
      <w:r>
        <w:rPr>
          <w:rFonts w:hint="eastAsia" w:ascii="宋体" w:hAnsi="宋体" w:cs="Arial"/>
          <w:sz w:val="24"/>
        </w:rPr>
        <w:t>本工作细则解释权归属公司董事会。</w:t>
      </w:r>
    </w:p>
    <w:p w14:paraId="693B84FE">
      <w:pPr>
        <w:jc w:val="center"/>
        <w:rPr>
          <w:rFonts w:hint="eastAsia" w:ascii="宋体" w:hAnsi="宋体" w:cs="Arial"/>
          <w:b/>
          <w:sz w:val="24"/>
        </w:rPr>
      </w:pPr>
    </w:p>
    <w:sectPr>
      <w:headerReference r:id="rId3" w:type="default"/>
      <w:footerReference r:id="rId4" w:type="default"/>
      <w:pgSz w:w="11906" w:h="16838"/>
      <w:pgMar w:top="1440" w:right="1800" w:bottom="1440" w:left="1800" w:header="6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224A">
    <w:pPr>
      <w:pStyle w:val="3"/>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 xml:space="preserve"> 页 共</w:t>
    </w:r>
    <w:r>
      <w:rPr>
        <w:rFonts w:hint="eastAsia"/>
        <w:lang w:val="en-US" w:eastAsia="zh-CN"/>
      </w:rPr>
      <w:t>5</w:t>
    </w:r>
    <w:r>
      <w:rPr>
        <w:rFonts w:hint="eastAsia"/>
      </w:rPr>
      <w:t xml:space="preserve"> 页</w:t>
    </w:r>
  </w:p>
  <w:p w14:paraId="4912372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9015">
    <w:pPr>
      <w:pStyle w:val="4"/>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永兴特种材料科技股份有限公司审计委员会工作细则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9204D"/>
    <w:multiLevelType w:val="multilevel"/>
    <w:tmpl w:val="36F9204D"/>
    <w:lvl w:ilvl="0" w:tentative="0">
      <w:start w:val="1"/>
      <w:numFmt w:val="japaneseCounting"/>
      <w:lvlText w:val="(%1)"/>
      <w:lvlJc w:val="left"/>
      <w:pPr>
        <w:tabs>
          <w:tab w:val="left" w:pos="1470"/>
        </w:tabs>
        <w:ind w:left="147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AF922BF"/>
    <w:multiLevelType w:val="multilevel"/>
    <w:tmpl w:val="3AF922BF"/>
    <w:lvl w:ilvl="0" w:tentative="0">
      <w:start w:val="1"/>
      <w:numFmt w:val="japaneseCounting"/>
      <w:lvlText w:val="(%1)"/>
      <w:lvlJc w:val="left"/>
      <w:pPr>
        <w:tabs>
          <w:tab w:val="left" w:pos="975"/>
        </w:tabs>
        <w:ind w:left="975" w:hanging="495"/>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0F47337"/>
    <w:multiLevelType w:val="multilevel"/>
    <w:tmpl w:val="50F47337"/>
    <w:lvl w:ilvl="0" w:tentative="0">
      <w:start w:val="1"/>
      <w:numFmt w:val="japaneseCounting"/>
      <w:lvlText w:val="(%1)"/>
      <w:lvlJc w:val="left"/>
      <w:pPr>
        <w:tabs>
          <w:tab w:val="left" w:pos="975"/>
        </w:tabs>
        <w:ind w:left="975" w:hanging="495"/>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C4"/>
    <w:rsid w:val="00014084"/>
    <w:rsid w:val="00036988"/>
    <w:rsid w:val="00076724"/>
    <w:rsid w:val="001040B5"/>
    <w:rsid w:val="00150CB7"/>
    <w:rsid w:val="001F05B7"/>
    <w:rsid w:val="002942C5"/>
    <w:rsid w:val="002C2BD1"/>
    <w:rsid w:val="002D6856"/>
    <w:rsid w:val="003772D2"/>
    <w:rsid w:val="00386BA0"/>
    <w:rsid w:val="003F0F9F"/>
    <w:rsid w:val="004C4804"/>
    <w:rsid w:val="005500AB"/>
    <w:rsid w:val="00583BD0"/>
    <w:rsid w:val="006457C4"/>
    <w:rsid w:val="0075014D"/>
    <w:rsid w:val="0075339E"/>
    <w:rsid w:val="007D66DF"/>
    <w:rsid w:val="008D2BAC"/>
    <w:rsid w:val="009149DF"/>
    <w:rsid w:val="009D468E"/>
    <w:rsid w:val="00A62A1C"/>
    <w:rsid w:val="00B8028A"/>
    <w:rsid w:val="00BA179F"/>
    <w:rsid w:val="00C203A6"/>
    <w:rsid w:val="00C248A8"/>
    <w:rsid w:val="00C90846"/>
    <w:rsid w:val="00C97F3A"/>
    <w:rsid w:val="00CB3056"/>
    <w:rsid w:val="00CF5D58"/>
    <w:rsid w:val="00D77E53"/>
    <w:rsid w:val="00DB7E46"/>
    <w:rsid w:val="00E012B8"/>
    <w:rsid w:val="00E1119D"/>
    <w:rsid w:val="00E667F0"/>
    <w:rsid w:val="00EC019D"/>
    <w:rsid w:val="00F856FB"/>
    <w:rsid w:val="0707715B"/>
    <w:rsid w:val="1962080A"/>
    <w:rsid w:val="3BDD3810"/>
    <w:rsid w:val="3DCE38C6"/>
    <w:rsid w:val="5B857334"/>
    <w:rsid w:val="6E5863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uiPriority w:val="0"/>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2520</Words>
  <Characters>2520</Characters>
  <Lines>20</Lines>
  <Paragraphs>5</Paragraphs>
  <TotalTime>2</TotalTime>
  <ScaleCrop>false</ScaleCrop>
  <LinksUpToDate>false</LinksUpToDate>
  <CharactersWithSpaces>2613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2007-08-30T00:06:00Z</dcterms:created>
  <dc:creator>walkinnet</dc:creator>
  <cp:lastModifiedBy>lln</cp:lastModifiedBy>
  <dcterms:modified xsi:type="dcterms:W3CDTF">2025-08-21T08:19:29Z</dcterms:modified>
  <dc:title>永兴特种不锈钢股份有限公司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FDE20BEC36274E079FC03491E2151A80_13</vt:lpwstr>
  </property>
</Properties>
</file>