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DD7E9">
      <w:pPr>
        <w:spacing w:line="360" w:lineRule="auto"/>
        <w:jc w:val="center"/>
        <w:rPr>
          <w:rFonts w:ascii="宋体" w:hAnsi="宋体" w:cs="Arial"/>
          <w:b/>
          <w:sz w:val="32"/>
          <w:szCs w:val="32"/>
        </w:rPr>
      </w:pPr>
    </w:p>
    <w:p w14:paraId="6FC5EDF8">
      <w:pPr>
        <w:spacing w:line="360" w:lineRule="auto"/>
        <w:jc w:val="center"/>
        <w:rPr>
          <w:rFonts w:ascii="宋体" w:hAnsi="宋体" w:cs="Arial"/>
          <w:b/>
          <w:sz w:val="32"/>
          <w:szCs w:val="32"/>
        </w:rPr>
      </w:pPr>
      <w:r>
        <w:rPr>
          <w:rFonts w:ascii="宋体" w:hAnsi="宋体" w:cs="Arial"/>
          <w:b/>
          <w:sz w:val="32"/>
          <w:szCs w:val="32"/>
        </w:rPr>
        <w:t>永兴特种材料科技股份有限公司</w:t>
      </w:r>
    </w:p>
    <w:p w14:paraId="0171E833">
      <w:pPr>
        <w:spacing w:line="360" w:lineRule="auto"/>
        <w:jc w:val="center"/>
        <w:rPr>
          <w:rFonts w:ascii="宋体" w:hAnsi="宋体" w:cs="Arial"/>
          <w:b/>
          <w:sz w:val="32"/>
          <w:szCs w:val="32"/>
        </w:rPr>
      </w:pPr>
      <w:r>
        <w:rPr>
          <w:rFonts w:hint="eastAsia" w:ascii="宋体" w:hAnsi="宋体" w:cs="Arial"/>
          <w:b/>
          <w:sz w:val="32"/>
          <w:szCs w:val="32"/>
        </w:rPr>
        <w:t>信息披露事务管理制度</w:t>
      </w:r>
    </w:p>
    <w:p w14:paraId="160769E7">
      <w:pPr>
        <w:pStyle w:val="2"/>
        <w:spacing w:line="300" w:lineRule="auto"/>
        <w:jc w:val="center"/>
        <w:rPr>
          <w:rFonts w:ascii="宋体" w:hAnsi="宋体" w:cs="Arial"/>
          <w:b/>
          <w:sz w:val="24"/>
          <w:szCs w:val="24"/>
        </w:rPr>
      </w:pPr>
      <w:r>
        <w:rPr>
          <w:rFonts w:hint="default" w:ascii="宋体" w:hAnsi="宋体" w:cs="Arial"/>
          <w:b/>
          <w:sz w:val="24"/>
          <w:szCs w:val="24"/>
        </w:rPr>
        <w:t>第一章</w:t>
      </w:r>
      <w:r>
        <w:rPr>
          <w:rFonts w:ascii="宋体" w:hAnsi="宋体" w:cs="Arial"/>
          <w:b/>
          <w:sz w:val="24"/>
          <w:szCs w:val="24"/>
        </w:rPr>
        <w:t xml:space="preserve">  </w:t>
      </w:r>
      <w:r>
        <w:rPr>
          <w:rFonts w:hint="default" w:ascii="宋体" w:hAnsi="宋体" w:cs="Arial"/>
          <w:b/>
          <w:sz w:val="24"/>
          <w:szCs w:val="24"/>
        </w:rPr>
        <w:t>总则</w:t>
      </w:r>
    </w:p>
    <w:p w14:paraId="4EACF795">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为规范永兴特种材料科技股份有限公司(以下简称“公司”)信息披露, 促进公司依法规范运作, 维护公司和投资者的合法权益, 依据《中华人民共和国公司法》、《中华人民共和国证券法》、《上市公司信息披露管理办法》(以下简称“《管理办法》”)等国家有关法律、法规、证券监管部门的相关规范性文件及《深圳证券交易所股票上市规则》(以下简称“《上市规则》”)、《永兴特种材料科技股份有限公司章程》</w:t>
      </w:r>
      <w:r>
        <w:rPr>
          <w:rFonts w:hint="eastAsia" w:ascii="宋体" w:hAnsi="宋体" w:cs="Arial"/>
          <w:sz w:val="24"/>
        </w:rPr>
        <w:t>(</w:t>
      </w:r>
      <w:r>
        <w:rPr>
          <w:rFonts w:ascii="宋体" w:hAnsi="宋体" w:cs="Arial"/>
          <w:sz w:val="24"/>
        </w:rPr>
        <w:t>以下简称“</w:t>
      </w:r>
      <w:r>
        <w:rPr>
          <w:rFonts w:hint="eastAsia" w:ascii="宋体" w:hAnsi="宋体" w:cs="Arial"/>
          <w:sz w:val="24"/>
        </w:rPr>
        <w:t>公司章程</w:t>
      </w:r>
      <w:r>
        <w:rPr>
          <w:rFonts w:ascii="宋体" w:hAnsi="宋体" w:cs="Arial"/>
          <w:sz w:val="24"/>
        </w:rPr>
        <w:t>”)的有关要求, 特制定本制度。</w:t>
      </w:r>
    </w:p>
    <w:p w14:paraId="7E80C9D7">
      <w:pPr>
        <w:spacing w:line="288" w:lineRule="auto"/>
        <w:ind w:left="840"/>
        <w:rPr>
          <w:rFonts w:ascii="宋体" w:hAnsi="宋体" w:cs="Arial"/>
          <w:sz w:val="24"/>
        </w:rPr>
      </w:pPr>
    </w:p>
    <w:p w14:paraId="52472E70">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本制度所称信息披露是指达到证券监管部门关于上市公司信息披露的标准要求, 根据相关法律、法规、部门规章及证券监管部门的规范性文件, 将可能对公司</w:t>
      </w:r>
      <w:r>
        <w:rPr>
          <w:rFonts w:hint="eastAsia" w:ascii="宋体" w:hAnsi="宋体" w:cs="Arial"/>
          <w:sz w:val="24"/>
        </w:rPr>
        <w:t>证券</w:t>
      </w:r>
      <w:r>
        <w:rPr>
          <w:rFonts w:ascii="宋体" w:hAnsi="宋体" w:cs="Arial"/>
          <w:sz w:val="24"/>
        </w:rPr>
        <w:t>及衍生品种价格产生较大影响而投资者尚未得知的重大信息, 在规定时间内, 通过规定的媒体, 以规定的方式向社会公众公布, 并在证券监管部门备案。</w:t>
      </w:r>
    </w:p>
    <w:p w14:paraId="55E074F5">
      <w:pPr>
        <w:spacing w:line="288" w:lineRule="auto"/>
        <w:rPr>
          <w:rFonts w:ascii="宋体" w:hAnsi="宋体" w:cs="Arial"/>
          <w:sz w:val="24"/>
        </w:rPr>
      </w:pPr>
    </w:p>
    <w:p w14:paraId="69351D18">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 xml:space="preserve">本制度应当适用于如下人员和机构: </w:t>
      </w:r>
    </w:p>
    <w:p w14:paraId="694CC86B">
      <w:pPr>
        <w:pStyle w:val="8"/>
        <w:numPr>
          <w:ilvl w:val="2"/>
          <w:numId w:val="1"/>
        </w:numPr>
        <w:tabs>
          <w:tab w:val="left" w:pos="2205"/>
          <w:tab w:val="clear" w:pos="1345"/>
        </w:tabs>
        <w:spacing w:before="0" w:beforeAutospacing="0" w:after="0" w:afterAutospacing="0" w:line="288" w:lineRule="auto"/>
        <w:ind w:left="2205" w:hanging="735"/>
        <w:rPr>
          <w:rFonts w:cs="Arial"/>
          <w:kern w:val="2"/>
        </w:rPr>
      </w:pPr>
      <w:r>
        <w:rPr>
          <w:rFonts w:cs="Arial"/>
          <w:kern w:val="2"/>
        </w:rPr>
        <w:t>公司董事会秘书和</w:t>
      </w:r>
      <w:r>
        <w:rPr>
          <w:rFonts w:cs="Arial"/>
        </w:rPr>
        <w:t>董事会秘书办公室</w:t>
      </w:r>
      <w:r>
        <w:rPr>
          <w:rFonts w:cs="Arial"/>
          <w:kern w:val="2"/>
        </w:rPr>
        <w:t>;</w:t>
      </w:r>
    </w:p>
    <w:p w14:paraId="553003CB">
      <w:pPr>
        <w:pStyle w:val="8"/>
        <w:numPr>
          <w:ilvl w:val="2"/>
          <w:numId w:val="1"/>
        </w:numPr>
        <w:tabs>
          <w:tab w:val="left" w:pos="2205"/>
          <w:tab w:val="clear" w:pos="1345"/>
        </w:tabs>
        <w:spacing w:before="0" w:beforeAutospacing="0" w:after="0" w:afterAutospacing="0" w:line="288" w:lineRule="auto"/>
        <w:ind w:left="2205" w:hanging="735"/>
        <w:rPr>
          <w:rFonts w:cs="Arial"/>
          <w:kern w:val="2"/>
        </w:rPr>
      </w:pPr>
      <w:r>
        <w:rPr>
          <w:rFonts w:cs="Arial"/>
          <w:kern w:val="2"/>
        </w:rPr>
        <w:t>公司董事和董事会;</w:t>
      </w:r>
    </w:p>
    <w:p w14:paraId="1F8B3012">
      <w:pPr>
        <w:pStyle w:val="8"/>
        <w:numPr>
          <w:ilvl w:val="2"/>
          <w:numId w:val="1"/>
        </w:numPr>
        <w:tabs>
          <w:tab w:val="left" w:pos="2205"/>
          <w:tab w:val="clear" w:pos="1345"/>
        </w:tabs>
        <w:spacing w:before="0" w:beforeAutospacing="0" w:after="0" w:afterAutospacing="0" w:line="288" w:lineRule="auto"/>
        <w:ind w:left="2205" w:hanging="735"/>
        <w:rPr>
          <w:rFonts w:cs="Arial"/>
          <w:kern w:val="2"/>
        </w:rPr>
      </w:pPr>
      <w:r>
        <w:rPr>
          <w:rFonts w:cs="Arial"/>
          <w:kern w:val="2"/>
        </w:rPr>
        <w:t>公司高级管理人员;</w:t>
      </w:r>
    </w:p>
    <w:p w14:paraId="19CBB93C">
      <w:pPr>
        <w:pStyle w:val="8"/>
        <w:numPr>
          <w:ilvl w:val="2"/>
          <w:numId w:val="1"/>
        </w:numPr>
        <w:tabs>
          <w:tab w:val="left" w:pos="2205"/>
          <w:tab w:val="clear" w:pos="1345"/>
        </w:tabs>
        <w:spacing w:before="0" w:beforeAutospacing="0" w:after="0" w:afterAutospacing="0" w:line="288" w:lineRule="auto"/>
        <w:ind w:left="2205" w:hanging="735"/>
        <w:rPr>
          <w:rFonts w:cs="Arial"/>
          <w:kern w:val="2"/>
        </w:rPr>
      </w:pPr>
      <w:r>
        <w:rPr>
          <w:rFonts w:cs="Arial"/>
          <w:kern w:val="2"/>
        </w:rPr>
        <w:t>公司总部各部门以及各子公司的负责人;</w:t>
      </w:r>
    </w:p>
    <w:p w14:paraId="153A9A92">
      <w:pPr>
        <w:pStyle w:val="8"/>
        <w:numPr>
          <w:ilvl w:val="2"/>
          <w:numId w:val="1"/>
        </w:numPr>
        <w:tabs>
          <w:tab w:val="left" w:pos="2205"/>
          <w:tab w:val="clear" w:pos="1345"/>
        </w:tabs>
        <w:spacing w:before="0" w:beforeAutospacing="0" w:after="0" w:afterAutospacing="0" w:line="288" w:lineRule="auto"/>
        <w:ind w:left="2205" w:hanging="735"/>
        <w:rPr>
          <w:rFonts w:cs="Arial"/>
          <w:kern w:val="2"/>
        </w:rPr>
      </w:pPr>
      <w:r>
        <w:rPr>
          <w:rFonts w:cs="Arial"/>
          <w:kern w:val="2"/>
        </w:rPr>
        <w:t>公司控股股东、实际控制人和持股5%以上的股东;</w:t>
      </w:r>
    </w:p>
    <w:p w14:paraId="34587C76">
      <w:pPr>
        <w:pStyle w:val="8"/>
        <w:numPr>
          <w:ilvl w:val="2"/>
          <w:numId w:val="1"/>
        </w:numPr>
        <w:tabs>
          <w:tab w:val="left" w:pos="2205"/>
          <w:tab w:val="clear" w:pos="1345"/>
        </w:tabs>
        <w:spacing w:before="0" w:beforeAutospacing="0" w:after="0" w:afterAutospacing="0" w:line="288" w:lineRule="auto"/>
        <w:ind w:left="2205" w:hanging="735"/>
        <w:rPr>
          <w:rFonts w:cs="Arial"/>
          <w:kern w:val="2"/>
        </w:rPr>
      </w:pPr>
      <w:r>
        <w:rPr>
          <w:rFonts w:cs="Arial"/>
          <w:kern w:val="2"/>
        </w:rPr>
        <w:t xml:space="preserve">其他负有信息披露职责的公司人员和部门。 </w:t>
      </w:r>
    </w:p>
    <w:p w14:paraId="6E0AE3CD">
      <w:pPr>
        <w:pStyle w:val="2"/>
        <w:spacing w:line="300" w:lineRule="auto"/>
        <w:jc w:val="center"/>
        <w:rPr>
          <w:rFonts w:ascii="宋体" w:hAnsi="宋体" w:cs="Arial"/>
          <w:b/>
          <w:sz w:val="24"/>
          <w:szCs w:val="24"/>
        </w:rPr>
      </w:pPr>
      <w:r>
        <w:rPr>
          <w:rFonts w:ascii="宋体" w:hAnsi="宋体" w:cs="Arial"/>
          <w:b/>
          <w:sz w:val="24"/>
          <w:szCs w:val="24"/>
        </w:rPr>
        <w:t>第二章  信息披露的一般规定</w:t>
      </w:r>
    </w:p>
    <w:p w14:paraId="1D6ABB43">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公司及相关信息披露义务人</w:t>
      </w:r>
      <w:r>
        <w:rPr>
          <w:rFonts w:ascii="宋体" w:hAnsi="宋体" w:cs="Arial"/>
          <w:sz w:val="24"/>
        </w:rPr>
        <w:t>应当根据法律、行政法规、部门规章、《上市规则》以及深圳证券交易所发布的办法和通知等相关规定</w:t>
      </w:r>
      <w:r>
        <w:rPr>
          <w:rFonts w:hint="eastAsia" w:ascii="宋体" w:hAnsi="宋体" w:cs="Arial"/>
          <w:sz w:val="24"/>
        </w:rPr>
        <w:t>及时、公平地披露信息，并保证所披露的信息真实、准确、完整，简明清晰、通俗易懂，不得有虚假记载、误导性陈述或者重大遗漏</w:t>
      </w:r>
      <w:r>
        <w:rPr>
          <w:rFonts w:ascii="宋体" w:hAnsi="宋体" w:cs="Arial"/>
          <w:sz w:val="24"/>
        </w:rPr>
        <w:t>。</w:t>
      </w:r>
    </w:p>
    <w:p w14:paraId="02804549">
      <w:pPr>
        <w:pStyle w:val="21"/>
        <w:ind w:firstLine="480"/>
        <w:rPr>
          <w:rFonts w:ascii="宋体" w:hAnsi="宋体" w:cs="Arial"/>
          <w:sz w:val="24"/>
        </w:rPr>
      </w:pPr>
    </w:p>
    <w:p w14:paraId="1C445BA6">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信息披露义务人应当及时依法履行信息披露义务,披露的信息应当真实、准确、完整、简明清晰、通俗易懂, 不得有虚假记载、误导性陈述或者重大遗漏。公司及相关信息披露义务人应当同时向所有投资者公开披露重大信息，确保所有投资者可以平等地获取同一信息，不得提前向任何单位和个人泄露，法律、行政法规另有规定的除外。</w:t>
      </w:r>
    </w:p>
    <w:p w14:paraId="28359E4B">
      <w:pPr>
        <w:tabs>
          <w:tab w:val="left" w:pos="1470"/>
        </w:tabs>
        <w:spacing w:line="288" w:lineRule="auto"/>
        <w:ind w:left="1470"/>
        <w:rPr>
          <w:rFonts w:ascii="宋体" w:hAnsi="宋体" w:cs="Arial"/>
          <w:sz w:val="24"/>
        </w:rPr>
      </w:pPr>
    </w:p>
    <w:p w14:paraId="73B03C2C">
      <w:pPr>
        <w:tabs>
          <w:tab w:val="left" w:pos="1470"/>
        </w:tabs>
        <w:spacing w:line="288" w:lineRule="auto"/>
        <w:ind w:left="1470"/>
        <w:rPr>
          <w:rFonts w:ascii="宋体" w:hAnsi="宋体" w:cs="Arial"/>
          <w:sz w:val="24"/>
        </w:rPr>
      </w:pPr>
      <w:r>
        <w:rPr>
          <w:rFonts w:hint="eastAsia" w:ascii="宋体" w:hAnsi="宋体" w:cs="Arial"/>
          <w:sz w:val="24"/>
        </w:rPr>
        <w:t>相关信息披露义务人应当按照有关规定履行信息披露义务，并积极配合公司做好信息披露工作，及时告知公司已发生或者拟发生的可能对公司股票及其衍生品种交易价格产生较大影响的事项（以下简称“重大事项”或者“重大信息”）。</w:t>
      </w:r>
    </w:p>
    <w:p w14:paraId="6CA413AB">
      <w:pPr>
        <w:tabs>
          <w:tab w:val="left" w:pos="1470"/>
        </w:tabs>
        <w:spacing w:line="288" w:lineRule="auto"/>
        <w:ind w:left="1470"/>
        <w:rPr>
          <w:rFonts w:ascii="宋体" w:hAnsi="宋体" w:cs="Arial"/>
          <w:sz w:val="24"/>
        </w:rPr>
      </w:pPr>
    </w:p>
    <w:p w14:paraId="5094EBB6">
      <w:pPr>
        <w:tabs>
          <w:tab w:val="left" w:pos="1470"/>
        </w:tabs>
        <w:spacing w:line="288" w:lineRule="auto"/>
        <w:ind w:left="1470"/>
        <w:rPr>
          <w:rFonts w:ascii="宋体" w:hAnsi="宋体" w:cs="Arial"/>
          <w:sz w:val="24"/>
        </w:rPr>
      </w:pPr>
      <w:r>
        <w:rPr>
          <w:rFonts w:hint="eastAsia" w:ascii="宋体" w:hAnsi="宋体" w:cs="Arial"/>
          <w:sz w:val="24"/>
        </w:rPr>
        <w:t>公司应当协助相关信息披露义务人履行信息披露义务。</w:t>
      </w:r>
    </w:p>
    <w:p w14:paraId="7235078E">
      <w:pPr>
        <w:tabs>
          <w:tab w:val="left" w:pos="1470"/>
        </w:tabs>
        <w:spacing w:line="288" w:lineRule="auto"/>
        <w:ind w:left="1470"/>
        <w:rPr>
          <w:rFonts w:ascii="宋体" w:hAnsi="宋体" w:cs="Arial"/>
          <w:sz w:val="24"/>
        </w:rPr>
      </w:pPr>
    </w:p>
    <w:p w14:paraId="4E849530">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及相关信息披露义务人披露信息，应当内容完整，充分披露可能对公司股票及其衍生品种交易价格有较大影响的信息，揭示可能产生的重大风险，不得选择性披露部分信息，不得有重大遗漏。信息披露文件材料应当齐备，格式符合规定要求。</w:t>
      </w:r>
    </w:p>
    <w:p w14:paraId="3B62D3D8">
      <w:pPr>
        <w:tabs>
          <w:tab w:val="left" w:pos="1470"/>
        </w:tabs>
        <w:spacing w:line="288" w:lineRule="auto"/>
        <w:ind w:left="1470"/>
        <w:rPr>
          <w:rFonts w:ascii="宋体" w:hAnsi="宋体" w:cs="Arial"/>
          <w:sz w:val="24"/>
        </w:rPr>
      </w:pPr>
    </w:p>
    <w:p w14:paraId="66F65839">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公司董事、高级管理人员应当保证公司及时、公平地披露信息，以及信息披露内容的真实、准确、完整，不存在虚假记载、误导性陈述或者重大遗漏。</w:t>
      </w:r>
    </w:p>
    <w:p w14:paraId="51F0084E">
      <w:pPr>
        <w:pStyle w:val="21"/>
        <w:ind w:firstLine="480"/>
        <w:rPr>
          <w:rFonts w:ascii="宋体" w:hAnsi="宋体" w:cs="Arial"/>
          <w:sz w:val="24"/>
        </w:rPr>
      </w:pPr>
    </w:p>
    <w:p w14:paraId="418415D1">
      <w:pPr>
        <w:tabs>
          <w:tab w:val="left" w:pos="1470"/>
        </w:tabs>
        <w:spacing w:line="288" w:lineRule="auto"/>
        <w:ind w:left="1470"/>
        <w:rPr>
          <w:rFonts w:ascii="宋体" w:hAnsi="宋体" w:cs="Arial"/>
          <w:sz w:val="24"/>
        </w:rPr>
      </w:pPr>
      <w:r>
        <w:rPr>
          <w:rFonts w:hint="eastAsia" w:ascii="宋体" w:hAnsi="宋体" w:cs="Arial"/>
          <w:sz w:val="24"/>
        </w:rPr>
        <w:t>公司董事、高级管理人员不能保证公司所披露的信息真实、准确、完整或者对公司所披露的信息存在异议的，应当在公告中作出声明并说明理由，公司应当予以披露。</w:t>
      </w:r>
    </w:p>
    <w:p w14:paraId="6BCAE883">
      <w:pPr>
        <w:tabs>
          <w:tab w:val="left" w:pos="1470"/>
        </w:tabs>
        <w:spacing w:line="288" w:lineRule="auto"/>
        <w:ind w:left="1470"/>
        <w:rPr>
          <w:rFonts w:ascii="宋体" w:hAnsi="宋体" w:cs="Arial"/>
          <w:sz w:val="24"/>
        </w:rPr>
      </w:pPr>
    </w:p>
    <w:p w14:paraId="66E08144">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及相关信息披露义务人有确实充分的证据证明拟披露的信息涉及国家秘密或者其他因披露可能导致违反国家保密规定、管理要求的事项，应当豁免披露。公司及相关信息披露义务人应当遵守国家保密法律制度，履行保密义务，不得通过信息披露、投资者互动问答、新闻发布、接受采访等任何形式泄露国家秘密，不得以信息涉密为名进行业务宣传。</w:t>
      </w:r>
    </w:p>
    <w:p w14:paraId="0E232D8E">
      <w:pPr>
        <w:tabs>
          <w:tab w:val="left" w:pos="1470"/>
        </w:tabs>
        <w:spacing w:line="288" w:lineRule="auto"/>
        <w:ind w:left="1470"/>
        <w:rPr>
          <w:rFonts w:ascii="宋体" w:hAnsi="宋体" w:cs="Arial"/>
          <w:sz w:val="24"/>
        </w:rPr>
      </w:pPr>
    </w:p>
    <w:p w14:paraId="1FE4DF38">
      <w:pPr>
        <w:tabs>
          <w:tab w:val="left" w:pos="1470"/>
        </w:tabs>
        <w:spacing w:line="288" w:lineRule="auto"/>
        <w:ind w:left="1470"/>
        <w:rPr>
          <w:rFonts w:ascii="宋体" w:hAnsi="宋体" w:cs="Arial"/>
          <w:sz w:val="24"/>
        </w:rPr>
      </w:pPr>
      <w:r>
        <w:rPr>
          <w:rFonts w:hint="eastAsia" w:ascii="宋体" w:hAnsi="宋体" w:cs="Arial"/>
          <w:sz w:val="24"/>
        </w:rPr>
        <w:t>公司及相关信息披露义务人拟披露的信息属于商业秘密或者保密商务信息（以下统称“商业秘密”），符合下列情形之一，且尚未公开或者泄露的，可以暂缓或者豁免披露：</w:t>
      </w:r>
    </w:p>
    <w:p w14:paraId="34536006">
      <w:pPr>
        <w:tabs>
          <w:tab w:val="left" w:pos="1470"/>
        </w:tabs>
        <w:spacing w:line="288" w:lineRule="auto"/>
        <w:ind w:left="1470"/>
        <w:rPr>
          <w:rFonts w:ascii="宋体" w:hAnsi="宋体" w:cs="Arial"/>
          <w:sz w:val="24"/>
        </w:rPr>
      </w:pPr>
      <w:r>
        <w:rPr>
          <w:rFonts w:hint="eastAsia" w:ascii="宋体" w:hAnsi="宋体" w:cs="Arial"/>
          <w:sz w:val="24"/>
        </w:rPr>
        <w:t>(一)</w:t>
      </w:r>
      <w:r>
        <w:rPr>
          <w:rFonts w:hint="eastAsia" w:ascii="宋体" w:hAnsi="宋体" w:cs="Arial"/>
          <w:sz w:val="24"/>
        </w:rPr>
        <w:tab/>
      </w:r>
      <w:r>
        <w:rPr>
          <w:rFonts w:hint="eastAsia" w:ascii="宋体" w:hAnsi="宋体" w:cs="Arial"/>
          <w:sz w:val="24"/>
        </w:rPr>
        <w:t>属于核心技术信息等，披露后可能引致不正当竞争的；</w:t>
      </w:r>
    </w:p>
    <w:p w14:paraId="1DDD554B">
      <w:pPr>
        <w:tabs>
          <w:tab w:val="left" w:pos="1470"/>
        </w:tabs>
        <w:spacing w:line="288" w:lineRule="auto"/>
        <w:ind w:left="1470"/>
        <w:rPr>
          <w:rFonts w:ascii="宋体" w:hAnsi="宋体" w:cs="Arial"/>
          <w:sz w:val="24"/>
        </w:rPr>
      </w:pPr>
      <w:r>
        <w:rPr>
          <w:rFonts w:hint="eastAsia" w:ascii="宋体" w:hAnsi="宋体" w:cs="Arial"/>
          <w:sz w:val="24"/>
        </w:rPr>
        <w:t>(二)</w:t>
      </w:r>
      <w:r>
        <w:rPr>
          <w:rFonts w:hint="eastAsia" w:ascii="宋体" w:hAnsi="宋体" w:cs="Arial"/>
          <w:sz w:val="24"/>
        </w:rPr>
        <w:tab/>
      </w:r>
      <w:r>
        <w:rPr>
          <w:rFonts w:hint="eastAsia" w:ascii="宋体" w:hAnsi="宋体" w:cs="Arial"/>
          <w:sz w:val="24"/>
        </w:rPr>
        <w:t>属于公司自身经营信息，客户、供应商等他人经营信息，披露后可能侵犯公司、他人商业秘密或者严重损害公司、他人利益的；</w:t>
      </w:r>
    </w:p>
    <w:p w14:paraId="6C74EED9">
      <w:pPr>
        <w:tabs>
          <w:tab w:val="left" w:pos="1470"/>
        </w:tabs>
        <w:spacing w:line="288" w:lineRule="auto"/>
        <w:ind w:left="1470"/>
        <w:rPr>
          <w:rFonts w:ascii="宋体" w:hAnsi="宋体" w:cs="Arial"/>
          <w:sz w:val="24"/>
        </w:rPr>
      </w:pPr>
      <w:r>
        <w:rPr>
          <w:rFonts w:hint="eastAsia" w:ascii="宋体" w:hAnsi="宋体" w:cs="Arial"/>
          <w:sz w:val="24"/>
        </w:rPr>
        <w:t>(三)</w:t>
      </w:r>
      <w:r>
        <w:rPr>
          <w:rFonts w:hint="eastAsia" w:ascii="宋体" w:hAnsi="宋体" w:cs="Arial"/>
          <w:sz w:val="24"/>
        </w:rPr>
        <w:tab/>
      </w:r>
      <w:r>
        <w:rPr>
          <w:rFonts w:hint="eastAsia" w:ascii="宋体" w:hAnsi="宋体" w:cs="Arial"/>
          <w:sz w:val="24"/>
        </w:rPr>
        <w:t>披露后可能严重损害公司、他人利益的其他情形。</w:t>
      </w:r>
    </w:p>
    <w:p w14:paraId="08C8246F">
      <w:pPr>
        <w:tabs>
          <w:tab w:val="left" w:pos="1470"/>
        </w:tabs>
        <w:spacing w:line="288" w:lineRule="auto"/>
        <w:ind w:left="1470"/>
        <w:rPr>
          <w:rFonts w:ascii="宋体" w:hAnsi="宋体" w:cs="Arial"/>
          <w:sz w:val="24"/>
        </w:rPr>
      </w:pPr>
    </w:p>
    <w:p w14:paraId="609AF5B6">
      <w:pPr>
        <w:tabs>
          <w:tab w:val="left" w:pos="1470"/>
        </w:tabs>
        <w:spacing w:line="288" w:lineRule="auto"/>
        <w:ind w:left="1470"/>
        <w:rPr>
          <w:rFonts w:ascii="宋体" w:hAnsi="宋体" w:cs="Arial"/>
          <w:sz w:val="24"/>
        </w:rPr>
      </w:pPr>
      <w:r>
        <w:rPr>
          <w:rFonts w:hint="eastAsia" w:ascii="宋体" w:hAnsi="宋体" w:cs="Arial"/>
          <w:sz w:val="24"/>
        </w:rPr>
        <w:t>公司及相关信息披露义务人暂缓、豁免披露商业秘密后，出现下列情形之一的，应当及时披露，并说明该信息认定为商业秘密的主要理由、内部审核程序以及未披露期间相关内幕信息知情人买卖公司股票情况等：（一）暂缓、豁免披露原因已消除；（二）有关信息难以保密；（三）有关信息已经泄露或者市场出现传闻。</w:t>
      </w:r>
    </w:p>
    <w:p w14:paraId="20911E1A">
      <w:pPr>
        <w:tabs>
          <w:tab w:val="left" w:pos="1470"/>
        </w:tabs>
        <w:spacing w:line="288" w:lineRule="auto"/>
        <w:ind w:left="1470"/>
        <w:rPr>
          <w:rFonts w:ascii="宋体" w:hAnsi="宋体" w:cs="Arial"/>
          <w:sz w:val="24"/>
        </w:rPr>
      </w:pPr>
    </w:p>
    <w:p w14:paraId="393D5EFC">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公司及相关信息披露义务人依据本规则第八条规定暂缓披露、免于披露其信息的，应当符合下列条件：</w:t>
      </w:r>
    </w:p>
    <w:p w14:paraId="5CB81307">
      <w:pPr>
        <w:pStyle w:val="8"/>
        <w:numPr>
          <w:ilvl w:val="2"/>
          <w:numId w:val="1"/>
        </w:numPr>
        <w:tabs>
          <w:tab w:val="left" w:pos="2205"/>
          <w:tab w:val="clear" w:pos="1345"/>
        </w:tabs>
        <w:spacing w:before="0" w:beforeAutospacing="0" w:after="0" w:afterAutospacing="0" w:line="288" w:lineRule="auto"/>
        <w:ind w:left="2205" w:hanging="735"/>
        <w:rPr>
          <w:rFonts w:cs="Arial"/>
        </w:rPr>
      </w:pPr>
      <w:r>
        <w:rPr>
          <w:rFonts w:hint="eastAsia" w:cs="Arial"/>
        </w:rPr>
        <w:t>相关信息未泄露；</w:t>
      </w:r>
    </w:p>
    <w:p w14:paraId="6B886422">
      <w:pPr>
        <w:pStyle w:val="8"/>
        <w:numPr>
          <w:ilvl w:val="2"/>
          <w:numId w:val="1"/>
        </w:numPr>
        <w:tabs>
          <w:tab w:val="left" w:pos="2205"/>
          <w:tab w:val="clear" w:pos="1345"/>
        </w:tabs>
        <w:spacing w:before="0" w:beforeAutospacing="0" w:after="0" w:afterAutospacing="0" w:line="288" w:lineRule="auto"/>
        <w:ind w:left="2205" w:hanging="735"/>
        <w:rPr>
          <w:rFonts w:cs="Arial"/>
        </w:rPr>
      </w:pPr>
      <w:r>
        <w:rPr>
          <w:rFonts w:hint="eastAsia" w:cs="Arial"/>
        </w:rPr>
        <w:t>有关内幕信息知情人已书面承诺保密；</w:t>
      </w:r>
    </w:p>
    <w:p w14:paraId="1B55DF39">
      <w:pPr>
        <w:pStyle w:val="8"/>
        <w:numPr>
          <w:ilvl w:val="2"/>
          <w:numId w:val="1"/>
        </w:numPr>
        <w:tabs>
          <w:tab w:val="left" w:pos="2205"/>
          <w:tab w:val="clear" w:pos="1345"/>
        </w:tabs>
        <w:spacing w:before="0" w:beforeAutospacing="0" w:after="0" w:afterAutospacing="0" w:line="288" w:lineRule="auto"/>
        <w:ind w:left="2205" w:hanging="735"/>
        <w:rPr>
          <w:rFonts w:cs="Arial"/>
        </w:rPr>
      </w:pPr>
      <w:r>
        <w:rPr>
          <w:rFonts w:hint="eastAsia" w:cs="Arial"/>
        </w:rPr>
        <w:t>公司股票及其衍生品种交易未发生异常波动。</w:t>
      </w:r>
    </w:p>
    <w:p w14:paraId="53B8F980">
      <w:pPr>
        <w:pStyle w:val="21"/>
        <w:rPr>
          <w:rFonts w:cs="Arial"/>
        </w:rPr>
      </w:pPr>
    </w:p>
    <w:p w14:paraId="3BF60B11">
      <w:pPr>
        <w:tabs>
          <w:tab w:val="left" w:pos="1470"/>
        </w:tabs>
        <w:spacing w:line="288" w:lineRule="auto"/>
        <w:ind w:left="1470"/>
        <w:rPr>
          <w:rFonts w:ascii="宋体" w:hAnsi="宋体" w:cs="Arial"/>
          <w:sz w:val="24"/>
        </w:rPr>
      </w:pPr>
      <w:r>
        <w:rPr>
          <w:rFonts w:hint="eastAsia" w:ascii="宋体" w:hAnsi="宋体" w:cs="Arial"/>
          <w:sz w:val="24"/>
        </w:rPr>
        <w:t>不符合本制度第八条和前款要求，或者暂缓披露的期限届满的，公司及相关信息披露义务人应当及时履行信息披露及相关义务。</w:t>
      </w:r>
    </w:p>
    <w:p w14:paraId="64D64ABA">
      <w:pPr>
        <w:tabs>
          <w:tab w:val="left" w:pos="1470"/>
        </w:tabs>
        <w:spacing w:line="288" w:lineRule="auto"/>
        <w:ind w:left="1470"/>
        <w:rPr>
          <w:rFonts w:ascii="宋体" w:hAnsi="宋体" w:cs="Arial"/>
          <w:sz w:val="24"/>
        </w:rPr>
      </w:pPr>
    </w:p>
    <w:p w14:paraId="602AA3EF">
      <w:pPr>
        <w:tabs>
          <w:tab w:val="left" w:pos="1470"/>
        </w:tabs>
        <w:spacing w:line="288" w:lineRule="auto"/>
        <w:ind w:left="1470"/>
        <w:rPr>
          <w:rFonts w:ascii="宋体" w:hAnsi="宋体" w:cs="Arial"/>
          <w:sz w:val="24"/>
        </w:rPr>
      </w:pPr>
      <w:r>
        <w:rPr>
          <w:rFonts w:hint="eastAsia" w:ascii="宋体" w:hAnsi="宋体" w:cs="Arial"/>
          <w:sz w:val="24"/>
        </w:rPr>
        <w:t>暂缓、免于披露的原因已经消除的，公司及相关信息披露义务人应当及时披露，并说明已履行的审议程序、已采取的保密措施等情况。</w:t>
      </w:r>
    </w:p>
    <w:p w14:paraId="112EB176">
      <w:pPr>
        <w:tabs>
          <w:tab w:val="left" w:pos="1470"/>
        </w:tabs>
        <w:spacing w:line="288" w:lineRule="auto"/>
        <w:ind w:left="1470"/>
        <w:rPr>
          <w:rFonts w:ascii="宋体" w:hAnsi="宋体" w:cs="Arial"/>
          <w:sz w:val="24"/>
        </w:rPr>
      </w:pPr>
    </w:p>
    <w:p w14:paraId="6F95192D">
      <w:pPr>
        <w:tabs>
          <w:tab w:val="left" w:pos="1470"/>
        </w:tabs>
        <w:spacing w:line="288" w:lineRule="auto"/>
        <w:ind w:left="1470"/>
        <w:rPr>
          <w:rFonts w:ascii="宋体" w:hAnsi="宋体" w:cs="Arial"/>
          <w:sz w:val="24"/>
        </w:rPr>
      </w:pPr>
      <w:r>
        <w:rPr>
          <w:rFonts w:hint="eastAsia" w:ascii="宋体" w:hAnsi="宋体" w:cs="Arial"/>
          <w:sz w:val="24"/>
        </w:rPr>
        <w:t>公司应当审慎确定信息披露暂缓、豁免事项，并采取有效措施防止暂缓或者豁免披露的信息泄露。公司决定对特定信息作暂缓、豁免披露处理的，应当由公司董事会秘书负责登记，并经公司董事长签字确认后，妥善归档保管。</w:t>
      </w:r>
    </w:p>
    <w:p w14:paraId="122A15E6">
      <w:pPr>
        <w:spacing w:line="288" w:lineRule="auto"/>
        <w:rPr>
          <w:rFonts w:ascii="宋体" w:hAnsi="宋体" w:cs="Arial"/>
          <w:sz w:val="24"/>
        </w:rPr>
      </w:pPr>
    </w:p>
    <w:p w14:paraId="09288131">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在内幕信息依法披露前，内幕信息的知情人和非法获取内幕信息的人不得公开或者泄露该信息，不得利用该信息进行内幕交易。任何单位和个人不得非法要求公司及相关信息披露义务人提供依法需要披露但尚未披露的信息。</w:t>
      </w:r>
    </w:p>
    <w:p w14:paraId="2A070B9D">
      <w:pPr>
        <w:pStyle w:val="21"/>
        <w:ind w:firstLine="480"/>
        <w:rPr>
          <w:rFonts w:ascii="宋体" w:hAnsi="宋体" w:cs="Arial"/>
          <w:sz w:val="24"/>
        </w:rPr>
      </w:pPr>
    </w:p>
    <w:p w14:paraId="2DEB79F4">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依法披露的信息，应当在证券交易所的网站和符合中国证监会规定条件的媒体发布，同时将其置备于公司住所、证券交易所，供社会公众查阅。</w:t>
      </w:r>
    </w:p>
    <w:p w14:paraId="4F3AFCB3">
      <w:pPr>
        <w:pStyle w:val="21"/>
        <w:ind w:firstLine="480"/>
        <w:rPr>
          <w:rFonts w:ascii="宋体" w:hAnsi="宋体" w:cs="Arial"/>
          <w:sz w:val="24"/>
        </w:rPr>
      </w:pPr>
    </w:p>
    <w:p w14:paraId="0203C5B2">
      <w:pPr>
        <w:tabs>
          <w:tab w:val="left" w:pos="1470"/>
        </w:tabs>
        <w:spacing w:line="288" w:lineRule="auto"/>
        <w:ind w:left="1470"/>
        <w:rPr>
          <w:rFonts w:ascii="宋体" w:hAnsi="宋体" w:cs="Arial"/>
          <w:sz w:val="24"/>
        </w:rPr>
      </w:pPr>
      <w:r>
        <w:rPr>
          <w:rFonts w:hint="eastAsia" w:ascii="宋体" w:hAnsi="宋体" w:cs="Arial"/>
          <w:sz w:val="24"/>
        </w:rPr>
        <w:t>公司公告应当由董事会发布并加盖公司或者董事会公章，法律法规或者深圳证券交易所另有规定的除外。</w:t>
      </w:r>
    </w:p>
    <w:p w14:paraId="23BE73E1">
      <w:pPr>
        <w:tabs>
          <w:tab w:val="left" w:pos="1470"/>
        </w:tabs>
        <w:spacing w:line="288" w:lineRule="auto"/>
        <w:ind w:left="1470"/>
        <w:rPr>
          <w:rFonts w:ascii="宋体" w:hAnsi="宋体" w:cs="Arial"/>
          <w:sz w:val="24"/>
        </w:rPr>
      </w:pPr>
    </w:p>
    <w:p w14:paraId="50E42E32">
      <w:pPr>
        <w:tabs>
          <w:tab w:val="left" w:pos="1470"/>
        </w:tabs>
        <w:spacing w:line="288" w:lineRule="auto"/>
        <w:ind w:left="1470"/>
        <w:rPr>
          <w:rFonts w:ascii="宋体" w:hAnsi="宋体" w:cs="Arial"/>
          <w:sz w:val="24"/>
        </w:rPr>
      </w:pPr>
      <w:r>
        <w:rPr>
          <w:rFonts w:hint="eastAsia" w:ascii="宋体" w:hAnsi="宋体" w:cs="Arial"/>
          <w:sz w:val="24"/>
        </w:rPr>
        <w:t>信息披露文件的全文应当在证券交易所的网站和符合中国证监会规定条件的报刊依法开办的网站披露，定期报告、收购报告书等信息披露文件的摘要应当在证券交易所的网站和符合中国证监会规定条件的报刊披露。</w:t>
      </w:r>
    </w:p>
    <w:p w14:paraId="36852C66">
      <w:pPr>
        <w:tabs>
          <w:tab w:val="left" w:pos="1470"/>
        </w:tabs>
        <w:spacing w:line="288" w:lineRule="auto"/>
        <w:ind w:left="1470"/>
        <w:rPr>
          <w:rFonts w:ascii="宋体" w:hAnsi="宋体" w:cs="Arial"/>
          <w:sz w:val="24"/>
        </w:rPr>
      </w:pPr>
    </w:p>
    <w:p w14:paraId="1BA521EC">
      <w:pPr>
        <w:tabs>
          <w:tab w:val="left" w:pos="1470"/>
        </w:tabs>
        <w:spacing w:line="288" w:lineRule="auto"/>
        <w:ind w:left="1470"/>
        <w:rPr>
          <w:rFonts w:ascii="宋体" w:hAnsi="宋体" w:cs="Arial"/>
          <w:sz w:val="24"/>
        </w:rPr>
      </w:pPr>
      <w:r>
        <w:rPr>
          <w:rFonts w:hint="eastAsia" w:ascii="宋体" w:hAnsi="宋体" w:cs="Arial"/>
          <w:sz w:val="24"/>
        </w:rPr>
        <w:t>公司及相关信息披露义务人不得以新闻发布或者答记者问等任何形式代替应当履行的报告、公告义务，不得以定期报告形式代替应当履行的临时报告义务。</w:t>
      </w:r>
    </w:p>
    <w:p w14:paraId="7B9143CC">
      <w:pPr>
        <w:tabs>
          <w:tab w:val="left" w:pos="1470"/>
        </w:tabs>
        <w:spacing w:line="288" w:lineRule="auto"/>
        <w:ind w:left="1470"/>
        <w:rPr>
          <w:rFonts w:ascii="宋体" w:hAnsi="宋体" w:cs="Arial"/>
          <w:sz w:val="24"/>
        </w:rPr>
      </w:pPr>
    </w:p>
    <w:p w14:paraId="21D9B210">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公司及相关信息披露义务人应当将信息披露公告文稿和相关备查文件报送公司注册地证监局。</w:t>
      </w:r>
    </w:p>
    <w:p w14:paraId="416998E4">
      <w:pPr>
        <w:tabs>
          <w:tab w:val="left" w:pos="1470"/>
        </w:tabs>
        <w:spacing w:line="288" w:lineRule="auto"/>
        <w:ind w:left="1470"/>
        <w:rPr>
          <w:rFonts w:ascii="宋体" w:hAnsi="宋体" w:cs="Arial"/>
          <w:sz w:val="24"/>
        </w:rPr>
      </w:pPr>
    </w:p>
    <w:p w14:paraId="1534628C">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及相关信息披露义务人应当披露的信息包括定期报告、临时报告等。公司及相关信息披露义务人应当按照法律法规、《上市规则》及深圳证券交易所其他规定编制公告并披露，并按规定报送相关备查文件。公司及相关信息披露义务人不得以定期报告形式代替应当履行的临时公告义务。</w:t>
      </w:r>
    </w:p>
    <w:p w14:paraId="0EC5618C">
      <w:pPr>
        <w:pStyle w:val="21"/>
        <w:ind w:firstLine="480"/>
        <w:rPr>
          <w:rFonts w:ascii="宋体" w:hAnsi="宋体" w:cs="Arial"/>
          <w:sz w:val="24"/>
        </w:rPr>
      </w:pPr>
    </w:p>
    <w:p w14:paraId="76F2B172">
      <w:pPr>
        <w:tabs>
          <w:tab w:val="left" w:pos="1470"/>
        </w:tabs>
        <w:spacing w:line="288" w:lineRule="auto"/>
        <w:ind w:left="1470"/>
        <w:rPr>
          <w:rFonts w:ascii="宋体" w:hAnsi="宋体" w:cs="Arial"/>
          <w:sz w:val="24"/>
        </w:rPr>
      </w:pPr>
      <w:r>
        <w:rPr>
          <w:rFonts w:hint="eastAsia" w:ascii="宋体" w:hAnsi="宋体" w:cs="Arial"/>
          <w:sz w:val="24"/>
        </w:rPr>
        <w:t>前款所述公告和材料应当采用中文文本。同时采用外文文本的，公司及相关信息披露义务人应当保证两种文本的内容一致。两种文本发生歧义时，以中文文本为准。</w:t>
      </w:r>
    </w:p>
    <w:p w14:paraId="364C4085">
      <w:pPr>
        <w:tabs>
          <w:tab w:val="left" w:pos="1470"/>
        </w:tabs>
        <w:spacing w:line="288" w:lineRule="auto"/>
        <w:ind w:left="1470"/>
        <w:rPr>
          <w:rFonts w:ascii="宋体" w:hAnsi="宋体" w:cs="Arial"/>
          <w:sz w:val="24"/>
        </w:rPr>
      </w:pPr>
    </w:p>
    <w:p w14:paraId="6D9E9CF6">
      <w:pPr>
        <w:tabs>
          <w:tab w:val="left" w:pos="1470"/>
        </w:tabs>
        <w:spacing w:line="288" w:lineRule="auto"/>
        <w:ind w:left="1470"/>
        <w:rPr>
          <w:rFonts w:ascii="宋体" w:hAnsi="宋体" w:cs="Arial"/>
          <w:sz w:val="24"/>
        </w:rPr>
      </w:pPr>
      <w:r>
        <w:rPr>
          <w:rFonts w:hint="eastAsia" w:ascii="宋体" w:hAnsi="宋体" w:cs="Arial"/>
          <w:sz w:val="24"/>
        </w:rPr>
        <w:t>公司及相关信息披露义务人应当保证所披露的信息与提交的公告内容一致。公司披露的公告内容与提供给深圳证券交易所的材料内容不一致的，应当立即向深圳证券交易所报告并及时更正。</w:t>
      </w:r>
    </w:p>
    <w:p w14:paraId="66C17AF8">
      <w:pPr>
        <w:pStyle w:val="21"/>
        <w:ind w:firstLine="480"/>
        <w:rPr>
          <w:rFonts w:ascii="宋体" w:hAnsi="宋体" w:cs="Arial"/>
          <w:sz w:val="24"/>
        </w:rPr>
      </w:pPr>
    </w:p>
    <w:p w14:paraId="78A09129">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公司及相关信息披露义务人通过股东会、业绩说明会、分析师会议、路演、接受投资者调研等形式，与任何单位和个人进行沟通时，不得透露、泄露尚未披露的重大信息。</w:t>
      </w:r>
    </w:p>
    <w:p w14:paraId="235F6F8A">
      <w:pPr>
        <w:tabs>
          <w:tab w:val="left" w:pos="1470"/>
        </w:tabs>
        <w:spacing w:line="288" w:lineRule="auto"/>
        <w:ind w:left="1470"/>
        <w:rPr>
          <w:rFonts w:ascii="宋体" w:hAnsi="宋体" w:cs="Arial"/>
          <w:sz w:val="24"/>
        </w:rPr>
      </w:pPr>
    </w:p>
    <w:p w14:paraId="158FC0F8">
      <w:pPr>
        <w:tabs>
          <w:tab w:val="left" w:pos="1470"/>
        </w:tabs>
        <w:spacing w:line="288" w:lineRule="auto"/>
        <w:ind w:left="1470"/>
        <w:rPr>
          <w:rFonts w:ascii="宋体" w:hAnsi="宋体" w:cs="Arial"/>
          <w:sz w:val="24"/>
        </w:rPr>
      </w:pPr>
      <w:r>
        <w:rPr>
          <w:rFonts w:hint="eastAsia" w:ascii="宋体" w:hAnsi="宋体" w:cs="Arial"/>
          <w:sz w:val="24"/>
        </w:rPr>
        <w:t>公司及相关信息披露义务人确有需要的，可以在非交易时段通过新闻发布会、媒体专访、公司网站、网络自媒体等方式对外发布重大信息，但公司应当于下一交易时段开始前披露相关公告。</w:t>
      </w:r>
    </w:p>
    <w:p w14:paraId="32FD8E65">
      <w:pPr>
        <w:tabs>
          <w:tab w:val="left" w:pos="1470"/>
        </w:tabs>
        <w:spacing w:line="288" w:lineRule="auto"/>
        <w:ind w:left="1470"/>
        <w:rPr>
          <w:rFonts w:ascii="宋体" w:hAnsi="宋体" w:cs="Arial"/>
          <w:sz w:val="24"/>
        </w:rPr>
      </w:pPr>
    </w:p>
    <w:p w14:paraId="60B3BD17">
      <w:pPr>
        <w:tabs>
          <w:tab w:val="left" w:pos="1470"/>
        </w:tabs>
        <w:spacing w:line="288" w:lineRule="auto"/>
        <w:ind w:left="1470"/>
        <w:rPr>
          <w:rFonts w:ascii="宋体" w:hAnsi="宋体" w:cs="Arial"/>
          <w:sz w:val="24"/>
        </w:rPr>
      </w:pPr>
      <w:r>
        <w:rPr>
          <w:rFonts w:hint="eastAsia" w:ascii="宋体" w:hAnsi="宋体" w:cs="Arial"/>
          <w:sz w:val="24"/>
        </w:rPr>
        <w:t>公司及相关信息披露义务人向公司股东、实际控制人或者其他第三方报送文件或者传递信息涉及未公开重大信息的，应当及时履行信息披露义务。</w:t>
      </w:r>
    </w:p>
    <w:p w14:paraId="6F1EC87D">
      <w:pPr>
        <w:tabs>
          <w:tab w:val="left" w:pos="1470"/>
        </w:tabs>
        <w:spacing w:line="288" w:lineRule="auto"/>
        <w:ind w:left="1470"/>
        <w:rPr>
          <w:rFonts w:ascii="宋体" w:hAnsi="宋体" w:cs="Arial"/>
          <w:sz w:val="24"/>
        </w:rPr>
      </w:pPr>
    </w:p>
    <w:p w14:paraId="5EBFD6E9">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公司发生的或与之有关的事件没有达到相关法律法规及本制度</w:t>
      </w:r>
      <w:r>
        <w:rPr>
          <w:rFonts w:hint="eastAsia" w:ascii="宋体" w:hAnsi="宋体" w:cs="Arial"/>
          <w:sz w:val="24"/>
        </w:rPr>
        <w:t>、《上市规则》</w:t>
      </w:r>
      <w:r>
        <w:rPr>
          <w:rFonts w:ascii="宋体" w:hAnsi="宋体" w:cs="Arial"/>
          <w:sz w:val="24"/>
        </w:rPr>
        <w:t>规定的披露标准, 或者相关法律法规及本制度没有具体规定, 但公司董事会认为该事件可能对公司股票及其衍生品种交易价格产生较大影响的, 公司应当比照本制度</w:t>
      </w:r>
      <w:r>
        <w:rPr>
          <w:rFonts w:hint="eastAsia" w:ascii="宋体" w:hAnsi="宋体" w:cs="Arial"/>
          <w:sz w:val="24"/>
        </w:rPr>
        <w:t>、《上市规则》</w:t>
      </w:r>
      <w:r>
        <w:rPr>
          <w:rFonts w:ascii="宋体" w:hAnsi="宋体" w:cs="Arial"/>
          <w:sz w:val="24"/>
        </w:rPr>
        <w:t>及时披露。</w:t>
      </w:r>
    </w:p>
    <w:p w14:paraId="1E15A7EF">
      <w:pPr>
        <w:pStyle w:val="21"/>
        <w:ind w:firstLine="480"/>
        <w:rPr>
          <w:rFonts w:ascii="宋体" w:hAnsi="宋体" w:cs="Arial"/>
          <w:sz w:val="24"/>
        </w:rPr>
      </w:pPr>
    </w:p>
    <w:p w14:paraId="516880D5">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除依法、依规需要披露的信息之外，公司及相关信息披露义务人可以自愿披露与投资者作出价值判断和投资决策有关的信息，但不得与依法、依规披露的信息相冲突，不得误导投资者。</w:t>
      </w:r>
    </w:p>
    <w:p w14:paraId="4276B15B">
      <w:pPr>
        <w:pStyle w:val="21"/>
        <w:ind w:firstLine="480"/>
        <w:rPr>
          <w:rFonts w:ascii="宋体" w:hAnsi="宋体" w:cs="Arial"/>
          <w:sz w:val="24"/>
        </w:rPr>
      </w:pPr>
    </w:p>
    <w:p w14:paraId="7370A14B">
      <w:pPr>
        <w:tabs>
          <w:tab w:val="left" w:pos="1470"/>
        </w:tabs>
        <w:spacing w:line="288" w:lineRule="auto"/>
        <w:ind w:left="1470"/>
        <w:rPr>
          <w:rFonts w:ascii="宋体" w:hAnsi="宋体" w:cs="Arial"/>
          <w:sz w:val="24"/>
        </w:rPr>
      </w:pPr>
      <w:r>
        <w:rPr>
          <w:rFonts w:hint="eastAsia" w:ascii="宋体" w:hAnsi="宋体" w:cs="Arial"/>
          <w:sz w:val="24"/>
        </w:rPr>
        <w:t>公司及相关信息披露义务人自愿披露信息，应当真实、准确、完整，遵守公平原则，保持信息披露的持续性和一致性，不得进行选择性披露。</w:t>
      </w:r>
    </w:p>
    <w:p w14:paraId="2746CB74">
      <w:pPr>
        <w:tabs>
          <w:tab w:val="left" w:pos="1470"/>
        </w:tabs>
        <w:spacing w:line="288" w:lineRule="auto"/>
        <w:ind w:left="1470"/>
        <w:rPr>
          <w:rFonts w:ascii="宋体" w:hAnsi="宋体" w:cs="Arial"/>
          <w:sz w:val="24"/>
        </w:rPr>
      </w:pPr>
    </w:p>
    <w:p w14:paraId="053FF325">
      <w:pPr>
        <w:tabs>
          <w:tab w:val="left" w:pos="1470"/>
        </w:tabs>
        <w:spacing w:line="288" w:lineRule="auto"/>
        <w:ind w:left="1470"/>
        <w:rPr>
          <w:rFonts w:ascii="宋体" w:hAnsi="宋体" w:cs="Arial"/>
          <w:sz w:val="24"/>
        </w:rPr>
      </w:pPr>
      <w:r>
        <w:rPr>
          <w:rFonts w:hint="eastAsia" w:ascii="宋体" w:hAnsi="宋体" w:cs="Arial"/>
          <w:sz w:val="24"/>
        </w:rPr>
        <w:t>公司及相关信息披露义务人自愿披露信息，应当审慎、客观，不得利用该等信息不当影响公司股票及其衍生品种交易价格、从事内幕交易或者其他违法违规行为。</w:t>
      </w:r>
    </w:p>
    <w:p w14:paraId="22593B34">
      <w:pPr>
        <w:pStyle w:val="2"/>
        <w:spacing w:before="313" w:beforeLines="100" w:after="313" w:afterLines="100" w:line="300" w:lineRule="auto"/>
        <w:jc w:val="center"/>
        <w:rPr>
          <w:rFonts w:ascii="宋体" w:hAnsi="宋体" w:cs="Arial"/>
          <w:sz w:val="24"/>
          <w:szCs w:val="24"/>
        </w:rPr>
      </w:pPr>
      <w:bookmarkStart w:id="0" w:name="_Toc168994065"/>
      <w:r>
        <w:rPr>
          <w:rFonts w:ascii="宋体" w:hAnsi="宋体" w:cs="Arial"/>
          <w:sz w:val="24"/>
          <w:szCs w:val="24"/>
        </w:rPr>
        <w:t>第三章  信息披露的内容及形式</w:t>
      </w:r>
      <w:bookmarkEnd w:id="0"/>
    </w:p>
    <w:p w14:paraId="286C39E8">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 xml:space="preserve">公司应当履行的信息披露包括以下主要内容: </w:t>
      </w:r>
    </w:p>
    <w:p w14:paraId="354F0EB1">
      <w:pPr>
        <w:numPr>
          <w:ilvl w:val="0"/>
          <w:numId w:val="2"/>
        </w:numPr>
        <w:tabs>
          <w:tab w:val="left" w:pos="2205"/>
          <w:tab w:val="clear" w:pos="0"/>
        </w:tabs>
        <w:spacing w:line="295" w:lineRule="auto"/>
        <w:ind w:left="2236" w:leftChars="699" w:hanging="768" w:hangingChars="320"/>
        <w:rPr>
          <w:rFonts w:ascii="宋体" w:hAnsi="宋体" w:cs="Arial"/>
          <w:sz w:val="24"/>
        </w:rPr>
      </w:pPr>
      <w:r>
        <w:rPr>
          <w:rFonts w:ascii="宋体" w:hAnsi="宋体" w:cs="Arial"/>
          <w:sz w:val="24"/>
        </w:rPr>
        <w:t>公司依法编制并披露定期报告, 包括季度报告、</w:t>
      </w:r>
      <w:r>
        <w:rPr>
          <w:rFonts w:hint="eastAsia" w:ascii="宋体" w:hAnsi="宋体" w:cs="Arial"/>
          <w:sz w:val="24"/>
        </w:rPr>
        <w:t>半年度</w:t>
      </w:r>
      <w:r>
        <w:rPr>
          <w:rFonts w:ascii="宋体" w:hAnsi="宋体" w:cs="Arial"/>
          <w:sz w:val="24"/>
        </w:rPr>
        <w:t>报告、年度报告;</w:t>
      </w:r>
    </w:p>
    <w:p w14:paraId="3438CAEE">
      <w:pPr>
        <w:numPr>
          <w:ilvl w:val="0"/>
          <w:numId w:val="2"/>
        </w:numPr>
        <w:tabs>
          <w:tab w:val="left" w:pos="2205"/>
          <w:tab w:val="clear" w:pos="0"/>
        </w:tabs>
        <w:spacing w:line="295" w:lineRule="auto"/>
        <w:ind w:left="2236" w:leftChars="699" w:hanging="768" w:hangingChars="320"/>
        <w:rPr>
          <w:rFonts w:ascii="宋体" w:hAnsi="宋体" w:cs="Arial"/>
          <w:sz w:val="24"/>
        </w:rPr>
      </w:pPr>
      <w:r>
        <w:rPr>
          <w:rFonts w:ascii="宋体" w:hAnsi="宋体" w:cs="Arial"/>
          <w:sz w:val="24"/>
        </w:rPr>
        <w:t>公司依法编制并披露临时报告, 包括但不限于股东会决议公告、董事会决议公告、关联交易公告和其他重大事件公告等; 以及关于深圳证券交易所认为需要披露的其他事项的临时报告;</w:t>
      </w:r>
    </w:p>
    <w:p w14:paraId="05CB5A5D">
      <w:pPr>
        <w:numPr>
          <w:ilvl w:val="0"/>
          <w:numId w:val="2"/>
        </w:numPr>
        <w:tabs>
          <w:tab w:val="left" w:pos="2205"/>
          <w:tab w:val="clear" w:pos="0"/>
        </w:tabs>
        <w:spacing w:line="295" w:lineRule="auto"/>
        <w:ind w:left="2236" w:leftChars="699" w:hanging="768" w:hangingChars="320"/>
        <w:rPr>
          <w:rFonts w:ascii="宋体" w:hAnsi="宋体" w:cs="Arial"/>
          <w:sz w:val="24"/>
        </w:rPr>
      </w:pPr>
      <w:r>
        <w:rPr>
          <w:rFonts w:ascii="宋体" w:hAnsi="宋体" w:cs="Arial"/>
          <w:sz w:val="24"/>
        </w:rPr>
        <w:t>公司依法披露再融资(包括发行股票、可转换公司债券及中国证券监督管理委员会(以下简称“中国证监会”)认可的其他品种)相关的公告文件。</w:t>
      </w:r>
    </w:p>
    <w:p w14:paraId="0C12532F">
      <w:pPr>
        <w:spacing w:line="295" w:lineRule="auto"/>
        <w:rPr>
          <w:rFonts w:ascii="宋体" w:hAnsi="宋体" w:cs="Arial"/>
          <w:sz w:val="24"/>
        </w:rPr>
      </w:pPr>
    </w:p>
    <w:p w14:paraId="27902371">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公司拟实施再融资计划时, 应按证券监管部门发布的编报规则、信息披露准则编制招股说明书、债券募集说明书、上市公告书等文件, 并按法律、行政法规、部门规章及《上市规则》的相关要求进行公告。</w:t>
      </w:r>
    </w:p>
    <w:p w14:paraId="6316BDEE">
      <w:pPr>
        <w:spacing w:line="295" w:lineRule="auto"/>
        <w:rPr>
          <w:rFonts w:ascii="宋体" w:hAnsi="宋体" w:cs="Arial"/>
          <w:sz w:val="24"/>
        </w:rPr>
      </w:pPr>
    </w:p>
    <w:p w14:paraId="35FFFA8F">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公司日常进行信息披露的形式包括定期报告和临时报告。</w:t>
      </w:r>
    </w:p>
    <w:p w14:paraId="53BCFEF3">
      <w:pPr>
        <w:pStyle w:val="2"/>
        <w:spacing w:before="0" w:after="0" w:line="300" w:lineRule="auto"/>
        <w:jc w:val="center"/>
        <w:rPr>
          <w:rFonts w:ascii="宋体" w:hAnsi="宋体" w:cs="Arial"/>
          <w:sz w:val="24"/>
          <w:szCs w:val="24"/>
        </w:rPr>
      </w:pPr>
      <w:bookmarkStart w:id="1" w:name="_Toc168994066"/>
      <w:r>
        <w:rPr>
          <w:rFonts w:ascii="宋体" w:hAnsi="宋体" w:cs="Arial"/>
          <w:sz w:val="24"/>
          <w:szCs w:val="24"/>
        </w:rPr>
        <w:t>第一节  定期报告</w:t>
      </w:r>
      <w:bookmarkEnd w:id="1"/>
    </w:p>
    <w:p w14:paraId="21EF36D2">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定期报告包括年度报告、</w:t>
      </w:r>
      <w:r>
        <w:rPr>
          <w:rFonts w:hint="eastAsia" w:ascii="宋体" w:hAnsi="宋体" w:cs="Arial"/>
          <w:sz w:val="24"/>
        </w:rPr>
        <w:t>半年度</w:t>
      </w:r>
      <w:r>
        <w:rPr>
          <w:rFonts w:ascii="宋体" w:hAnsi="宋体" w:cs="Arial"/>
          <w:sz w:val="24"/>
        </w:rPr>
        <w:t>报告和季度报告:</w:t>
      </w:r>
    </w:p>
    <w:p w14:paraId="68561546">
      <w:pPr>
        <w:tabs>
          <w:tab w:val="left" w:pos="735"/>
        </w:tabs>
        <w:spacing w:line="295" w:lineRule="auto"/>
        <w:rPr>
          <w:rFonts w:ascii="宋体" w:hAnsi="宋体" w:cs="Arial"/>
          <w:sz w:val="24"/>
        </w:rPr>
      </w:pPr>
    </w:p>
    <w:p w14:paraId="709556ED">
      <w:pPr>
        <w:numPr>
          <w:ilvl w:val="0"/>
          <w:numId w:val="3"/>
        </w:numPr>
        <w:tabs>
          <w:tab w:val="left" w:pos="2205"/>
          <w:tab w:val="clear" w:pos="1575"/>
        </w:tabs>
        <w:spacing w:line="295" w:lineRule="auto"/>
        <w:ind w:left="2233" w:leftChars="699" w:hanging="765" w:hangingChars="319"/>
        <w:rPr>
          <w:rFonts w:ascii="宋体" w:hAnsi="宋体" w:cs="Arial"/>
          <w:sz w:val="24"/>
        </w:rPr>
      </w:pPr>
      <w:r>
        <w:rPr>
          <w:rFonts w:ascii="宋体" w:hAnsi="宋体" w:cs="Arial"/>
          <w:sz w:val="24"/>
        </w:rPr>
        <w:t>年度报告: 公司应当在每个会计年度结束之日起四个月内披露年度报告;</w:t>
      </w:r>
    </w:p>
    <w:p w14:paraId="7D8EF3BD">
      <w:pPr>
        <w:numPr>
          <w:ilvl w:val="0"/>
          <w:numId w:val="3"/>
        </w:numPr>
        <w:tabs>
          <w:tab w:val="left" w:pos="2205"/>
          <w:tab w:val="clear" w:pos="1575"/>
        </w:tabs>
        <w:spacing w:line="295" w:lineRule="auto"/>
        <w:ind w:left="2233" w:leftChars="699" w:hanging="765" w:hangingChars="319"/>
        <w:rPr>
          <w:rFonts w:ascii="宋体" w:hAnsi="宋体" w:cs="Arial"/>
          <w:sz w:val="24"/>
        </w:rPr>
      </w:pPr>
      <w:r>
        <w:rPr>
          <w:rFonts w:hint="eastAsia" w:ascii="宋体" w:hAnsi="宋体" w:cs="Arial"/>
          <w:sz w:val="24"/>
        </w:rPr>
        <w:t>半年度</w:t>
      </w:r>
      <w:r>
        <w:rPr>
          <w:rFonts w:ascii="宋体" w:hAnsi="宋体" w:cs="Arial"/>
          <w:sz w:val="24"/>
        </w:rPr>
        <w:t>报告: 公司应当于每个会计年度的上半年结束之日起两个月内披露</w:t>
      </w:r>
      <w:r>
        <w:rPr>
          <w:rFonts w:hint="eastAsia" w:ascii="宋体" w:hAnsi="宋体" w:cs="Arial"/>
          <w:sz w:val="24"/>
        </w:rPr>
        <w:t>半年度</w:t>
      </w:r>
      <w:r>
        <w:rPr>
          <w:rFonts w:ascii="宋体" w:hAnsi="宋体" w:cs="Arial"/>
          <w:sz w:val="24"/>
        </w:rPr>
        <w:t>报告;</w:t>
      </w:r>
    </w:p>
    <w:p w14:paraId="6A2A84F0">
      <w:pPr>
        <w:numPr>
          <w:ilvl w:val="0"/>
          <w:numId w:val="3"/>
        </w:numPr>
        <w:tabs>
          <w:tab w:val="left" w:pos="2205"/>
          <w:tab w:val="clear" w:pos="1575"/>
        </w:tabs>
        <w:spacing w:line="295" w:lineRule="auto"/>
        <w:ind w:left="2233" w:leftChars="699" w:hanging="765" w:hangingChars="319"/>
        <w:rPr>
          <w:rFonts w:ascii="宋体" w:hAnsi="宋体" w:cs="Arial"/>
          <w:sz w:val="24"/>
        </w:rPr>
      </w:pPr>
      <w:r>
        <w:rPr>
          <w:rFonts w:ascii="宋体" w:hAnsi="宋体" w:cs="Arial"/>
          <w:sz w:val="24"/>
        </w:rPr>
        <w:t>季度报告: 公司应当在每个会计年度前三个月、九个月结束后的一个月内披露季度报告。</w:t>
      </w:r>
    </w:p>
    <w:p w14:paraId="09CD2F18">
      <w:pPr>
        <w:pStyle w:val="21"/>
        <w:ind w:firstLine="480"/>
        <w:rPr>
          <w:rFonts w:ascii="宋体" w:hAnsi="宋体" w:cs="Arial"/>
          <w:sz w:val="24"/>
        </w:rPr>
      </w:pPr>
    </w:p>
    <w:p w14:paraId="6A9BE8F2">
      <w:pPr>
        <w:tabs>
          <w:tab w:val="left" w:pos="1470"/>
        </w:tabs>
        <w:spacing w:line="295" w:lineRule="auto"/>
        <w:ind w:left="1470"/>
        <w:rPr>
          <w:rFonts w:ascii="宋体" w:hAnsi="宋体" w:cs="Arial"/>
          <w:sz w:val="24"/>
        </w:rPr>
      </w:pPr>
      <w:r>
        <w:rPr>
          <w:rFonts w:hint="eastAsia" w:ascii="宋体" w:hAnsi="宋体" w:cs="Arial"/>
          <w:sz w:val="24"/>
        </w:rPr>
        <w:t>公司第一季度季度报告的披露时间不得早于上一年度的年度报告披露时间。</w:t>
      </w:r>
    </w:p>
    <w:p w14:paraId="58DAA866">
      <w:pPr>
        <w:tabs>
          <w:tab w:val="left" w:pos="1470"/>
        </w:tabs>
        <w:spacing w:line="295" w:lineRule="auto"/>
        <w:ind w:left="1470"/>
        <w:rPr>
          <w:rFonts w:ascii="宋体" w:hAnsi="宋体" w:cs="Arial"/>
          <w:sz w:val="24"/>
        </w:rPr>
      </w:pPr>
    </w:p>
    <w:p w14:paraId="53D07DB8">
      <w:pPr>
        <w:tabs>
          <w:tab w:val="left" w:pos="1470"/>
        </w:tabs>
        <w:spacing w:line="295" w:lineRule="auto"/>
        <w:ind w:left="1470"/>
        <w:rPr>
          <w:rFonts w:ascii="宋体" w:hAnsi="宋体" w:cs="Arial"/>
          <w:sz w:val="24"/>
        </w:rPr>
      </w:pPr>
      <w:r>
        <w:rPr>
          <w:rFonts w:hint="eastAsia" w:ascii="宋体" w:hAnsi="宋体" w:cs="Arial"/>
          <w:sz w:val="24"/>
        </w:rPr>
        <w:t>公司预计不能在本条规定的期限内披露定期报告的，应当及时公告不能按期披露的原因、解决方案及延期披露的最后期限。</w:t>
      </w:r>
    </w:p>
    <w:p w14:paraId="11D68C91">
      <w:pPr>
        <w:spacing w:line="295" w:lineRule="auto"/>
        <w:rPr>
          <w:rFonts w:ascii="宋体" w:hAnsi="宋体" w:cs="Arial"/>
          <w:sz w:val="24"/>
        </w:rPr>
      </w:pPr>
    </w:p>
    <w:p w14:paraId="04F954C5">
      <w:pPr>
        <w:numPr>
          <w:ilvl w:val="0"/>
          <w:numId w:val="1"/>
        </w:numPr>
        <w:tabs>
          <w:tab w:val="left" w:pos="1470"/>
          <w:tab w:val="clear" w:pos="0"/>
        </w:tabs>
        <w:spacing w:line="295" w:lineRule="auto"/>
        <w:ind w:left="1470" w:hanging="1470"/>
        <w:rPr>
          <w:rFonts w:ascii="宋体" w:hAnsi="宋体" w:cs="Arial"/>
          <w:kern w:val="0"/>
          <w:sz w:val="24"/>
        </w:rPr>
      </w:pPr>
      <w:r>
        <w:rPr>
          <w:rFonts w:ascii="宋体" w:hAnsi="宋体" w:cs="Arial"/>
          <w:kern w:val="0"/>
          <w:sz w:val="24"/>
        </w:rPr>
        <w:t>年度报告应当记载以下内容:</w:t>
      </w:r>
    </w:p>
    <w:p w14:paraId="10945C8C">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公司基本情况; </w:t>
      </w:r>
    </w:p>
    <w:p w14:paraId="68F58091">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主要会计数据和财务指标; </w:t>
      </w:r>
    </w:p>
    <w:p w14:paraId="7701E6B7">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公司股票、债券发行及变动情况, 报告期末股票、债券总额、股东总数, 公司前10大股东持股情况; </w:t>
      </w:r>
    </w:p>
    <w:p w14:paraId="06F0E1EE">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持股5%以上股东、控股股东及实际控制人情况; </w:t>
      </w:r>
    </w:p>
    <w:p w14:paraId="141CD69F">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董事、高级管理人员的任职情况、持股变动情况、年度报酬情况; </w:t>
      </w:r>
    </w:p>
    <w:p w14:paraId="3B57A0C0">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董事会报告; </w:t>
      </w:r>
    </w:p>
    <w:p w14:paraId="2567695F">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管理层讨论与分析; </w:t>
      </w:r>
    </w:p>
    <w:p w14:paraId="59BD7890">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报告期内重大事件及对公司的影响; </w:t>
      </w:r>
    </w:p>
    <w:p w14:paraId="2B3A70FE">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 xml:space="preserve">财务会计报告和审计报告全文; </w:t>
      </w:r>
    </w:p>
    <w:p w14:paraId="75DA913E">
      <w:pPr>
        <w:numPr>
          <w:ilvl w:val="0"/>
          <w:numId w:val="4"/>
        </w:numPr>
        <w:tabs>
          <w:tab w:val="left" w:pos="2205"/>
          <w:tab w:val="clear" w:pos="1575"/>
        </w:tabs>
        <w:spacing w:line="288" w:lineRule="auto"/>
        <w:ind w:left="2205" w:hanging="735"/>
        <w:rPr>
          <w:rFonts w:ascii="宋体" w:hAnsi="宋体" w:cs="Arial"/>
          <w:sz w:val="24"/>
        </w:rPr>
      </w:pPr>
      <w:r>
        <w:rPr>
          <w:rFonts w:ascii="宋体" w:hAnsi="宋体" w:cs="Arial"/>
          <w:sz w:val="24"/>
        </w:rPr>
        <w:t>中国证监会规定的其他事项。</w:t>
      </w:r>
    </w:p>
    <w:p w14:paraId="322C0603">
      <w:pPr>
        <w:tabs>
          <w:tab w:val="left" w:pos="2205"/>
        </w:tabs>
        <w:spacing w:line="295" w:lineRule="auto"/>
        <w:ind w:left="1575"/>
        <w:rPr>
          <w:rFonts w:ascii="宋体" w:hAnsi="宋体" w:cs="Arial"/>
          <w:sz w:val="24"/>
        </w:rPr>
      </w:pPr>
    </w:p>
    <w:p w14:paraId="37E07183">
      <w:pPr>
        <w:numPr>
          <w:ilvl w:val="0"/>
          <w:numId w:val="1"/>
        </w:numPr>
        <w:tabs>
          <w:tab w:val="left" w:pos="1470"/>
          <w:tab w:val="clear" w:pos="0"/>
        </w:tabs>
        <w:spacing w:line="295" w:lineRule="auto"/>
        <w:ind w:left="1470" w:hanging="1470"/>
        <w:rPr>
          <w:rFonts w:ascii="宋体" w:hAnsi="宋体" w:cs="Arial"/>
          <w:kern w:val="0"/>
          <w:sz w:val="24"/>
        </w:rPr>
      </w:pPr>
      <w:r>
        <w:rPr>
          <w:rFonts w:hint="eastAsia" w:ascii="宋体" w:hAnsi="宋体" w:cs="Arial"/>
          <w:kern w:val="0"/>
          <w:sz w:val="24"/>
        </w:rPr>
        <w:t>半年度</w:t>
      </w:r>
      <w:r>
        <w:rPr>
          <w:rFonts w:ascii="宋体" w:hAnsi="宋体" w:cs="Arial"/>
          <w:kern w:val="0"/>
          <w:sz w:val="24"/>
        </w:rPr>
        <w:t>报告应当记载以下内容:</w:t>
      </w:r>
    </w:p>
    <w:p w14:paraId="0CA6FB17">
      <w:pPr>
        <w:numPr>
          <w:ilvl w:val="0"/>
          <w:numId w:val="5"/>
        </w:numPr>
        <w:tabs>
          <w:tab w:val="left" w:pos="1440"/>
          <w:tab w:val="left" w:pos="2160"/>
          <w:tab w:val="clear" w:pos="1575"/>
        </w:tabs>
        <w:spacing w:line="288" w:lineRule="auto"/>
        <w:ind w:left="2158" w:leftChars="685" w:hanging="720"/>
        <w:rPr>
          <w:rFonts w:ascii="宋体" w:hAnsi="宋体" w:cs="Arial"/>
          <w:sz w:val="24"/>
        </w:rPr>
      </w:pPr>
      <w:r>
        <w:rPr>
          <w:rFonts w:ascii="宋体" w:hAnsi="宋体" w:cs="Arial"/>
          <w:sz w:val="24"/>
        </w:rPr>
        <w:t xml:space="preserve">公司基本情况; </w:t>
      </w:r>
    </w:p>
    <w:p w14:paraId="13C62A05">
      <w:pPr>
        <w:numPr>
          <w:ilvl w:val="0"/>
          <w:numId w:val="5"/>
        </w:numPr>
        <w:tabs>
          <w:tab w:val="left" w:pos="1440"/>
          <w:tab w:val="left" w:pos="2160"/>
          <w:tab w:val="clear" w:pos="1575"/>
        </w:tabs>
        <w:spacing w:line="288" w:lineRule="auto"/>
        <w:ind w:left="2158" w:leftChars="685" w:hanging="720"/>
        <w:rPr>
          <w:rFonts w:ascii="宋体" w:hAnsi="宋体" w:cs="Arial"/>
          <w:sz w:val="24"/>
        </w:rPr>
      </w:pPr>
      <w:r>
        <w:rPr>
          <w:rFonts w:ascii="宋体" w:hAnsi="宋体" w:cs="Arial"/>
          <w:sz w:val="24"/>
        </w:rPr>
        <w:t xml:space="preserve">主要会计数据和财务指标; </w:t>
      </w:r>
    </w:p>
    <w:p w14:paraId="4AE80D84">
      <w:pPr>
        <w:numPr>
          <w:ilvl w:val="0"/>
          <w:numId w:val="5"/>
        </w:numPr>
        <w:tabs>
          <w:tab w:val="left" w:pos="1440"/>
          <w:tab w:val="left" w:pos="2160"/>
          <w:tab w:val="clear" w:pos="1575"/>
        </w:tabs>
        <w:spacing w:line="288" w:lineRule="auto"/>
        <w:ind w:left="2158" w:leftChars="685" w:hanging="720"/>
        <w:rPr>
          <w:rFonts w:ascii="宋体" w:hAnsi="宋体" w:cs="Arial"/>
          <w:sz w:val="24"/>
        </w:rPr>
      </w:pPr>
      <w:r>
        <w:rPr>
          <w:rFonts w:ascii="宋体" w:hAnsi="宋体" w:cs="Arial"/>
          <w:sz w:val="24"/>
        </w:rPr>
        <w:t xml:space="preserve">公司股票、债券发行及变动情况、股东总数、公司前10大股东持股情况, 控股股东及实际控制人发生变化的情况; </w:t>
      </w:r>
    </w:p>
    <w:p w14:paraId="10F9EE34">
      <w:pPr>
        <w:numPr>
          <w:ilvl w:val="0"/>
          <w:numId w:val="5"/>
        </w:numPr>
        <w:tabs>
          <w:tab w:val="left" w:pos="1440"/>
          <w:tab w:val="left" w:pos="2160"/>
          <w:tab w:val="clear" w:pos="1575"/>
        </w:tabs>
        <w:spacing w:line="288" w:lineRule="auto"/>
        <w:ind w:left="2158" w:leftChars="685" w:hanging="720"/>
        <w:rPr>
          <w:rFonts w:ascii="宋体" w:hAnsi="宋体" w:cs="Arial"/>
          <w:sz w:val="24"/>
        </w:rPr>
      </w:pPr>
      <w:r>
        <w:rPr>
          <w:rFonts w:ascii="宋体" w:hAnsi="宋体" w:cs="Arial"/>
          <w:sz w:val="24"/>
        </w:rPr>
        <w:t xml:space="preserve">管理层讨论与分析; </w:t>
      </w:r>
    </w:p>
    <w:p w14:paraId="084E6037">
      <w:pPr>
        <w:numPr>
          <w:ilvl w:val="0"/>
          <w:numId w:val="5"/>
        </w:numPr>
        <w:tabs>
          <w:tab w:val="left" w:pos="1440"/>
          <w:tab w:val="left" w:pos="2160"/>
          <w:tab w:val="clear" w:pos="1575"/>
        </w:tabs>
        <w:spacing w:line="288" w:lineRule="auto"/>
        <w:ind w:left="2158" w:leftChars="685" w:hanging="720"/>
        <w:rPr>
          <w:rFonts w:ascii="宋体" w:hAnsi="宋体" w:cs="Arial"/>
          <w:sz w:val="24"/>
        </w:rPr>
      </w:pPr>
      <w:r>
        <w:rPr>
          <w:rFonts w:ascii="宋体" w:hAnsi="宋体" w:cs="Arial"/>
          <w:sz w:val="24"/>
        </w:rPr>
        <w:t xml:space="preserve">报告期内重大诉讼、仲裁等重大事件及对公司的影响; </w:t>
      </w:r>
    </w:p>
    <w:p w14:paraId="0415CEC4">
      <w:pPr>
        <w:numPr>
          <w:ilvl w:val="0"/>
          <w:numId w:val="5"/>
        </w:numPr>
        <w:tabs>
          <w:tab w:val="left" w:pos="1440"/>
          <w:tab w:val="left" w:pos="2160"/>
          <w:tab w:val="clear" w:pos="1575"/>
        </w:tabs>
        <w:spacing w:line="288" w:lineRule="auto"/>
        <w:ind w:left="2158" w:leftChars="685" w:hanging="720"/>
        <w:rPr>
          <w:rFonts w:ascii="宋体" w:hAnsi="宋体" w:cs="Arial"/>
          <w:sz w:val="24"/>
        </w:rPr>
      </w:pPr>
      <w:r>
        <w:rPr>
          <w:rFonts w:ascii="宋体" w:hAnsi="宋体" w:cs="Arial"/>
          <w:sz w:val="24"/>
        </w:rPr>
        <w:t xml:space="preserve">财务会计报告; </w:t>
      </w:r>
    </w:p>
    <w:p w14:paraId="2938E2EB">
      <w:pPr>
        <w:numPr>
          <w:ilvl w:val="0"/>
          <w:numId w:val="5"/>
        </w:numPr>
        <w:tabs>
          <w:tab w:val="left" w:pos="1440"/>
          <w:tab w:val="left" w:pos="2160"/>
          <w:tab w:val="clear" w:pos="1575"/>
        </w:tabs>
        <w:spacing w:line="288" w:lineRule="auto"/>
        <w:ind w:left="2158" w:leftChars="685" w:hanging="720"/>
        <w:rPr>
          <w:rFonts w:ascii="宋体" w:hAnsi="宋体" w:cs="Arial"/>
          <w:sz w:val="24"/>
        </w:rPr>
      </w:pPr>
      <w:r>
        <w:rPr>
          <w:rFonts w:ascii="宋体" w:hAnsi="宋体" w:cs="Arial"/>
          <w:sz w:val="24"/>
        </w:rPr>
        <w:t>中国证监会规定的其他事项。</w:t>
      </w:r>
    </w:p>
    <w:p w14:paraId="4AE70596">
      <w:pPr>
        <w:tabs>
          <w:tab w:val="left" w:pos="1470"/>
        </w:tabs>
        <w:spacing w:line="295" w:lineRule="auto"/>
        <w:rPr>
          <w:rFonts w:ascii="宋体" w:hAnsi="宋体" w:cs="Arial"/>
          <w:kern w:val="0"/>
          <w:sz w:val="24"/>
        </w:rPr>
      </w:pPr>
    </w:p>
    <w:p w14:paraId="232AF821">
      <w:pPr>
        <w:numPr>
          <w:ilvl w:val="0"/>
          <w:numId w:val="1"/>
        </w:numPr>
        <w:tabs>
          <w:tab w:val="left" w:pos="1470"/>
          <w:tab w:val="clear" w:pos="0"/>
        </w:tabs>
        <w:spacing w:line="295" w:lineRule="auto"/>
        <w:ind w:left="1470" w:hanging="1470"/>
        <w:rPr>
          <w:rFonts w:ascii="宋体" w:hAnsi="宋体" w:cs="Arial"/>
          <w:kern w:val="0"/>
          <w:sz w:val="24"/>
        </w:rPr>
      </w:pPr>
      <w:r>
        <w:rPr>
          <w:rFonts w:hint="eastAsia" w:ascii="宋体" w:hAnsi="宋体" w:cs="Arial"/>
          <w:kern w:val="0"/>
          <w:sz w:val="24"/>
        </w:rPr>
        <w:t>公司预计年度经营业绩或者财务状况将出现下列情形之一的, 应当在会计年度结束之日起一个月内进行预告(以下简称“业绩预告”):</w:t>
      </w:r>
    </w:p>
    <w:p w14:paraId="599F7557">
      <w:pPr>
        <w:numPr>
          <w:ilvl w:val="0"/>
          <w:numId w:val="6"/>
        </w:numPr>
        <w:tabs>
          <w:tab w:val="left" w:pos="2160"/>
        </w:tabs>
        <w:spacing w:line="288" w:lineRule="auto"/>
        <w:ind w:left="2158" w:leftChars="685" w:hanging="720"/>
        <w:rPr>
          <w:rFonts w:ascii="宋体" w:hAnsi="宋体" w:cs="Arial"/>
          <w:kern w:val="0"/>
          <w:sz w:val="24"/>
        </w:rPr>
      </w:pPr>
      <w:r>
        <w:rPr>
          <w:rFonts w:hint="eastAsia" w:ascii="宋体" w:hAnsi="宋体" w:cs="Arial"/>
          <w:kern w:val="0"/>
          <w:sz w:val="24"/>
        </w:rPr>
        <w:t>净利润为负值；</w:t>
      </w:r>
    </w:p>
    <w:p w14:paraId="510E6521">
      <w:pPr>
        <w:numPr>
          <w:ilvl w:val="0"/>
          <w:numId w:val="6"/>
        </w:numPr>
        <w:tabs>
          <w:tab w:val="left" w:pos="2160"/>
        </w:tabs>
        <w:spacing w:line="288" w:lineRule="auto"/>
        <w:ind w:left="2158" w:leftChars="685" w:hanging="720"/>
        <w:rPr>
          <w:rFonts w:ascii="宋体" w:hAnsi="宋体" w:cs="Arial"/>
          <w:kern w:val="0"/>
          <w:sz w:val="24"/>
        </w:rPr>
      </w:pPr>
      <w:r>
        <w:rPr>
          <w:rFonts w:hint="eastAsia" w:ascii="宋体" w:hAnsi="宋体" w:cs="Arial"/>
          <w:kern w:val="0"/>
          <w:sz w:val="24"/>
        </w:rPr>
        <w:t>净利润实现扭亏为盈；</w:t>
      </w:r>
    </w:p>
    <w:p w14:paraId="22CB949F">
      <w:pPr>
        <w:numPr>
          <w:ilvl w:val="0"/>
          <w:numId w:val="6"/>
        </w:numPr>
        <w:tabs>
          <w:tab w:val="left" w:pos="2160"/>
        </w:tabs>
        <w:spacing w:line="288" w:lineRule="auto"/>
        <w:ind w:left="2158" w:leftChars="685" w:hanging="720"/>
        <w:rPr>
          <w:rFonts w:ascii="宋体" w:hAnsi="宋体" w:cs="Arial"/>
          <w:kern w:val="0"/>
          <w:sz w:val="24"/>
        </w:rPr>
      </w:pPr>
      <w:r>
        <w:rPr>
          <w:rFonts w:hint="eastAsia" w:ascii="宋体" w:hAnsi="宋体" w:cs="Arial"/>
          <w:kern w:val="0"/>
          <w:sz w:val="24"/>
        </w:rPr>
        <w:t>实现盈利，且净利润与上年同期相比上升或者下降50%以上；</w:t>
      </w:r>
    </w:p>
    <w:p w14:paraId="34272F35">
      <w:pPr>
        <w:numPr>
          <w:ilvl w:val="0"/>
          <w:numId w:val="6"/>
        </w:numPr>
        <w:tabs>
          <w:tab w:val="left" w:pos="2160"/>
        </w:tabs>
        <w:spacing w:line="288" w:lineRule="auto"/>
        <w:ind w:left="2158" w:leftChars="685" w:hanging="720"/>
        <w:rPr>
          <w:rFonts w:ascii="宋体" w:hAnsi="宋体" w:cs="Arial"/>
          <w:kern w:val="0"/>
          <w:sz w:val="24"/>
        </w:rPr>
      </w:pPr>
      <w:r>
        <w:rPr>
          <w:rFonts w:hint="eastAsia" w:ascii="宋体" w:hAnsi="宋体" w:cs="Arial"/>
          <w:kern w:val="0"/>
          <w:sz w:val="24"/>
        </w:rPr>
        <w:t>利润总额、净利润或者扣除非经常性损益后的净利润三者孰低为负值，且按照《上市规则》第9.3.2条规定扣除后的营业收入低于3亿元；</w:t>
      </w:r>
    </w:p>
    <w:p w14:paraId="0F8EF595">
      <w:pPr>
        <w:numPr>
          <w:ilvl w:val="0"/>
          <w:numId w:val="6"/>
        </w:numPr>
        <w:tabs>
          <w:tab w:val="left" w:pos="2160"/>
        </w:tabs>
        <w:spacing w:line="288" w:lineRule="auto"/>
        <w:ind w:left="2158" w:leftChars="685" w:hanging="720"/>
        <w:rPr>
          <w:rFonts w:ascii="宋体" w:hAnsi="宋体" w:cs="Arial"/>
          <w:kern w:val="0"/>
          <w:sz w:val="24"/>
        </w:rPr>
      </w:pPr>
      <w:r>
        <w:rPr>
          <w:rFonts w:hint="eastAsia" w:ascii="宋体" w:hAnsi="宋体" w:cs="Arial"/>
          <w:kern w:val="0"/>
          <w:sz w:val="24"/>
        </w:rPr>
        <w:t>期末净资产为负值；</w:t>
      </w:r>
    </w:p>
    <w:p w14:paraId="596DDEB5">
      <w:pPr>
        <w:numPr>
          <w:ilvl w:val="0"/>
          <w:numId w:val="6"/>
        </w:numPr>
        <w:tabs>
          <w:tab w:val="left" w:pos="2160"/>
        </w:tabs>
        <w:spacing w:line="288" w:lineRule="auto"/>
        <w:ind w:left="2158" w:leftChars="685" w:hanging="720"/>
        <w:rPr>
          <w:rFonts w:ascii="宋体" w:hAnsi="宋体" w:cs="Arial"/>
          <w:kern w:val="0"/>
          <w:sz w:val="24"/>
        </w:rPr>
      </w:pPr>
      <w:r>
        <w:rPr>
          <w:rFonts w:hint="eastAsia" w:ascii="宋体" w:hAnsi="宋体" w:cs="Arial"/>
          <w:kern w:val="0"/>
          <w:sz w:val="24"/>
        </w:rPr>
        <w:t>公司股票交易因触及《上市规则》第9.3.1条第一款规定的情形被实施退市风险警示后的首个会计年度；</w:t>
      </w:r>
    </w:p>
    <w:p w14:paraId="56103ABE">
      <w:pPr>
        <w:numPr>
          <w:ilvl w:val="0"/>
          <w:numId w:val="6"/>
        </w:numPr>
        <w:tabs>
          <w:tab w:val="left" w:pos="2160"/>
        </w:tabs>
        <w:spacing w:line="288" w:lineRule="auto"/>
        <w:ind w:left="2158" w:leftChars="685" w:hanging="720"/>
        <w:rPr>
          <w:rFonts w:ascii="宋体" w:hAnsi="宋体" w:cs="Arial"/>
          <w:kern w:val="0"/>
          <w:sz w:val="24"/>
        </w:rPr>
      </w:pPr>
      <w:r>
        <w:rPr>
          <w:rFonts w:hint="eastAsia" w:ascii="宋体" w:hAnsi="宋体" w:cs="Arial"/>
          <w:kern w:val="0"/>
          <w:sz w:val="24"/>
        </w:rPr>
        <w:t>深圳证券交易所认定的其他情形。</w:t>
      </w:r>
    </w:p>
    <w:p w14:paraId="5AB157AA">
      <w:pPr>
        <w:tabs>
          <w:tab w:val="left" w:pos="2160"/>
        </w:tabs>
        <w:spacing w:line="288" w:lineRule="auto"/>
        <w:ind w:left="1438"/>
        <w:rPr>
          <w:rFonts w:ascii="宋体" w:hAnsi="宋体" w:cs="Arial"/>
          <w:kern w:val="0"/>
          <w:sz w:val="24"/>
        </w:rPr>
      </w:pPr>
    </w:p>
    <w:p w14:paraId="5E8C5D54">
      <w:pPr>
        <w:tabs>
          <w:tab w:val="left" w:pos="2160"/>
        </w:tabs>
        <w:spacing w:line="288" w:lineRule="auto"/>
        <w:ind w:left="1438"/>
        <w:rPr>
          <w:rFonts w:ascii="宋体" w:hAnsi="宋体" w:cs="Arial"/>
          <w:kern w:val="0"/>
          <w:sz w:val="24"/>
        </w:rPr>
      </w:pPr>
      <w:r>
        <w:rPr>
          <w:rFonts w:hint="eastAsia" w:ascii="宋体" w:hAnsi="宋体" w:cs="Arial"/>
          <w:kern w:val="0"/>
          <w:sz w:val="24"/>
        </w:rPr>
        <w:t>公司预计半年度经营业绩将出现前款第（一）项至第（三）项情形之一的，应当在半年度结束之日起十五日内进行预告。</w:t>
      </w:r>
    </w:p>
    <w:p w14:paraId="2F5CC6CC">
      <w:pPr>
        <w:tabs>
          <w:tab w:val="left" w:pos="2160"/>
        </w:tabs>
        <w:spacing w:line="288" w:lineRule="auto"/>
        <w:ind w:left="1438"/>
        <w:rPr>
          <w:rFonts w:ascii="宋体" w:hAnsi="宋体" w:cs="Arial"/>
          <w:kern w:val="0"/>
          <w:sz w:val="24"/>
        </w:rPr>
      </w:pPr>
    </w:p>
    <w:p w14:paraId="02862032">
      <w:pPr>
        <w:tabs>
          <w:tab w:val="left" w:pos="2160"/>
        </w:tabs>
        <w:spacing w:line="288" w:lineRule="auto"/>
        <w:ind w:left="1438"/>
        <w:rPr>
          <w:rFonts w:ascii="宋体" w:hAnsi="宋体" w:cs="Arial"/>
          <w:kern w:val="0"/>
          <w:sz w:val="24"/>
        </w:rPr>
      </w:pPr>
      <w:r>
        <w:rPr>
          <w:rFonts w:hint="eastAsia" w:ascii="宋体" w:hAnsi="宋体" w:cs="Arial"/>
          <w:kern w:val="0"/>
          <w:sz w:val="24"/>
        </w:rPr>
        <w:t>公司因第一款第（六）项情形进行年度业绩预告的，应当预告全年营业收入、按照《上市规则》第9.3.2条规定扣除后的营业收入、利润总额、净利润、扣除非经常性损益后的净利润和期末净资产。</w:t>
      </w:r>
    </w:p>
    <w:p w14:paraId="5EEA86B9">
      <w:pPr>
        <w:tabs>
          <w:tab w:val="left" w:pos="1470"/>
        </w:tabs>
        <w:spacing w:line="295" w:lineRule="auto"/>
        <w:rPr>
          <w:rFonts w:ascii="宋体" w:hAnsi="宋体" w:cs="Arial"/>
          <w:sz w:val="24"/>
        </w:rPr>
      </w:pPr>
    </w:p>
    <w:p w14:paraId="61E174CD">
      <w:pPr>
        <w:numPr>
          <w:ilvl w:val="0"/>
          <w:numId w:val="1"/>
        </w:numPr>
        <w:tabs>
          <w:tab w:val="left" w:pos="1470"/>
          <w:tab w:val="clear" w:pos="0"/>
        </w:tabs>
        <w:spacing w:line="295" w:lineRule="auto"/>
        <w:rPr>
          <w:rFonts w:ascii="宋体" w:hAnsi="宋体" w:cs="Arial"/>
          <w:sz w:val="24"/>
        </w:rPr>
      </w:pPr>
      <w:r>
        <w:rPr>
          <w:rFonts w:hint="eastAsia" w:ascii="宋体" w:hAnsi="宋体" w:cs="Arial"/>
          <w:sz w:val="24"/>
        </w:rPr>
        <w:t>公司出现下列情形之一的，应当及时披露业绩快报：</w:t>
      </w:r>
    </w:p>
    <w:p w14:paraId="4A80F5E0">
      <w:pPr>
        <w:numPr>
          <w:ilvl w:val="0"/>
          <w:numId w:val="7"/>
        </w:numPr>
        <w:tabs>
          <w:tab w:val="left" w:pos="2160"/>
        </w:tabs>
        <w:spacing w:line="288" w:lineRule="auto"/>
        <w:ind w:left="2158" w:leftChars="685" w:hanging="720"/>
        <w:rPr>
          <w:rFonts w:ascii="宋体" w:hAnsi="宋体" w:cs="Arial"/>
          <w:sz w:val="24"/>
        </w:rPr>
      </w:pPr>
      <w:r>
        <w:rPr>
          <w:rFonts w:hint="eastAsia" w:ascii="宋体" w:hAnsi="宋体" w:cs="Arial"/>
          <w:sz w:val="24"/>
        </w:rPr>
        <w:t>在定期报告</w:t>
      </w:r>
      <w:r>
        <w:rPr>
          <w:rFonts w:hint="eastAsia" w:ascii="宋体" w:hAnsi="宋体" w:cs="Arial"/>
          <w:kern w:val="0"/>
          <w:sz w:val="24"/>
        </w:rPr>
        <w:t>披露</w:t>
      </w:r>
      <w:r>
        <w:rPr>
          <w:rFonts w:hint="eastAsia" w:ascii="宋体" w:hAnsi="宋体" w:cs="Arial"/>
          <w:sz w:val="24"/>
        </w:rPr>
        <w:t>前向有关机关报送未公开的定期财务数据，预计无法保密；</w:t>
      </w:r>
    </w:p>
    <w:p w14:paraId="472A37A4">
      <w:pPr>
        <w:numPr>
          <w:ilvl w:val="0"/>
          <w:numId w:val="7"/>
        </w:numPr>
        <w:tabs>
          <w:tab w:val="left" w:pos="2160"/>
        </w:tabs>
        <w:spacing w:line="288" w:lineRule="auto"/>
        <w:ind w:left="2158" w:leftChars="685" w:hanging="720"/>
        <w:rPr>
          <w:rFonts w:ascii="宋体" w:hAnsi="宋体" w:cs="Arial"/>
          <w:sz w:val="24"/>
        </w:rPr>
      </w:pPr>
      <w:r>
        <w:rPr>
          <w:rFonts w:hint="eastAsia" w:ascii="宋体" w:hAnsi="宋体" w:cs="Arial"/>
          <w:sz w:val="24"/>
        </w:rPr>
        <w:t>在定期报告披露前出现业绩泄露，或者因业绩传闻导致公司股票及其衍生品种交易异常波动；</w:t>
      </w:r>
    </w:p>
    <w:p w14:paraId="54A7834B">
      <w:pPr>
        <w:numPr>
          <w:ilvl w:val="0"/>
          <w:numId w:val="7"/>
        </w:numPr>
        <w:tabs>
          <w:tab w:val="left" w:pos="2160"/>
        </w:tabs>
        <w:spacing w:line="288" w:lineRule="auto"/>
        <w:ind w:left="2158" w:leftChars="685" w:hanging="720"/>
        <w:rPr>
          <w:rFonts w:ascii="宋体" w:hAnsi="宋体" w:cs="Arial"/>
          <w:sz w:val="24"/>
        </w:rPr>
      </w:pPr>
      <w:r>
        <w:rPr>
          <w:rFonts w:hint="eastAsia" w:ascii="宋体" w:hAnsi="宋体" w:cs="Arial"/>
          <w:sz w:val="24"/>
        </w:rPr>
        <w:t>拟披露第一季度</w:t>
      </w:r>
      <w:r>
        <w:rPr>
          <w:rFonts w:hint="eastAsia" w:ascii="宋体" w:hAnsi="宋体" w:cs="Arial"/>
          <w:kern w:val="0"/>
          <w:sz w:val="24"/>
        </w:rPr>
        <w:t>业绩</w:t>
      </w:r>
      <w:r>
        <w:rPr>
          <w:rFonts w:hint="eastAsia" w:ascii="宋体" w:hAnsi="宋体" w:cs="Arial"/>
          <w:sz w:val="24"/>
        </w:rPr>
        <w:t>但上年度年度报告尚未披露。</w:t>
      </w:r>
    </w:p>
    <w:p w14:paraId="41266E8B">
      <w:pPr>
        <w:tabs>
          <w:tab w:val="left" w:pos="1470"/>
        </w:tabs>
        <w:spacing w:line="295" w:lineRule="auto"/>
        <w:rPr>
          <w:rFonts w:ascii="宋体" w:hAnsi="宋体" w:cs="Arial"/>
          <w:sz w:val="24"/>
        </w:rPr>
      </w:pPr>
    </w:p>
    <w:p w14:paraId="2C3CAB8C">
      <w:pPr>
        <w:tabs>
          <w:tab w:val="left" w:pos="2160"/>
        </w:tabs>
        <w:spacing w:line="288" w:lineRule="auto"/>
        <w:ind w:left="1438"/>
        <w:rPr>
          <w:rFonts w:ascii="宋体" w:hAnsi="宋体" w:cs="Arial"/>
          <w:sz w:val="24"/>
        </w:rPr>
      </w:pPr>
      <w:r>
        <w:rPr>
          <w:rFonts w:hint="eastAsia" w:ascii="宋体" w:hAnsi="宋体" w:cs="Arial"/>
          <w:sz w:val="24"/>
        </w:rPr>
        <w:t>出现前款第（三）项情形的，公司应当在不晚于第一季度业绩相关公告发布时披露上一年度的业绩快报。</w:t>
      </w:r>
    </w:p>
    <w:p w14:paraId="0495EDB7">
      <w:pPr>
        <w:tabs>
          <w:tab w:val="left" w:pos="1470"/>
        </w:tabs>
        <w:spacing w:line="295" w:lineRule="auto"/>
        <w:rPr>
          <w:rFonts w:ascii="宋体" w:hAnsi="宋体" w:cs="Arial"/>
          <w:sz w:val="24"/>
        </w:rPr>
      </w:pPr>
    </w:p>
    <w:p w14:paraId="3F5625AD">
      <w:pPr>
        <w:tabs>
          <w:tab w:val="left" w:pos="2160"/>
        </w:tabs>
        <w:spacing w:line="288" w:lineRule="auto"/>
        <w:ind w:left="1438"/>
        <w:rPr>
          <w:rFonts w:ascii="宋体" w:hAnsi="宋体" w:cs="Arial"/>
          <w:sz w:val="24"/>
        </w:rPr>
      </w:pPr>
      <w:r>
        <w:rPr>
          <w:rFonts w:hint="eastAsia" w:ascii="宋体" w:hAnsi="宋体" w:cs="Arial"/>
          <w:sz w:val="24"/>
        </w:rPr>
        <w:t>除出现第一款情形外，公司可以在定期报告披露前发布业绩快报。</w:t>
      </w:r>
    </w:p>
    <w:p w14:paraId="34F48865">
      <w:pPr>
        <w:tabs>
          <w:tab w:val="left" w:pos="1470"/>
        </w:tabs>
        <w:spacing w:line="295" w:lineRule="auto"/>
        <w:ind w:left="1470"/>
        <w:rPr>
          <w:rFonts w:ascii="宋体" w:hAnsi="宋体" w:cs="Arial"/>
          <w:sz w:val="24"/>
        </w:rPr>
      </w:pPr>
    </w:p>
    <w:p w14:paraId="04C0FBE0">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披露业绩快报后，预计本期业绩或者财务状况与已披露的业绩快报的数据和指标差异幅度达到20%以上，或者最新预计的报告期净利润、扣除非经常性损益后的净利润或者期末净资产方向与已披露的业绩快报不一致的，应当及时披露业绩快报修正公告，说明具体差异及造成差异的原因。</w:t>
      </w:r>
    </w:p>
    <w:p w14:paraId="42D4F6FC">
      <w:pPr>
        <w:tabs>
          <w:tab w:val="left" w:pos="1470"/>
        </w:tabs>
        <w:spacing w:line="295" w:lineRule="auto"/>
        <w:ind w:left="1470"/>
        <w:rPr>
          <w:rFonts w:ascii="宋体" w:hAnsi="宋体" w:cs="Arial"/>
          <w:sz w:val="24"/>
        </w:rPr>
      </w:pPr>
    </w:p>
    <w:p w14:paraId="2D00B807">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公司应分别按相关法律、法规、证券监管部门发布的格式及编报规则编制定期报告。凡是对投资者作出投资决策有重大影响的信息均应当披露。</w:t>
      </w:r>
    </w:p>
    <w:p w14:paraId="36C6923E">
      <w:pPr>
        <w:tabs>
          <w:tab w:val="left" w:pos="1470"/>
        </w:tabs>
        <w:spacing w:line="295" w:lineRule="auto"/>
        <w:rPr>
          <w:rFonts w:ascii="宋体" w:hAnsi="宋体" w:cs="Arial"/>
          <w:sz w:val="24"/>
        </w:rPr>
      </w:pPr>
    </w:p>
    <w:p w14:paraId="6D948A3B">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公司因前期已披露的定期报告存在差错或者虚假记载被责令改正, 或者经董事会决定进行更正的, 应当在被责令改正或者董事会作出相应决定后及时披露, 涉及财务信息的，应当按照中国证监会《公开发行证券的公司信息披露编报规则第19 号——财务信息的更正及相关披露》等有关规定的要求更正及披露。</w:t>
      </w:r>
    </w:p>
    <w:p w14:paraId="1E87C827">
      <w:pPr>
        <w:pStyle w:val="21"/>
        <w:ind w:firstLine="480"/>
        <w:rPr>
          <w:rFonts w:ascii="宋体" w:hAnsi="宋体" w:cs="Arial"/>
          <w:sz w:val="24"/>
        </w:rPr>
      </w:pPr>
    </w:p>
    <w:p w14:paraId="7AC19AA5">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公司董事会应当确保公司定期报告的按时披露。</w:t>
      </w:r>
    </w:p>
    <w:p w14:paraId="5FB1E033">
      <w:pPr>
        <w:pStyle w:val="21"/>
        <w:ind w:firstLine="480"/>
        <w:rPr>
          <w:rFonts w:ascii="宋体" w:hAnsi="宋体" w:cs="Arial"/>
          <w:sz w:val="24"/>
        </w:rPr>
      </w:pPr>
    </w:p>
    <w:p w14:paraId="326C4634">
      <w:pPr>
        <w:tabs>
          <w:tab w:val="left" w:pos="1470"/>
        </w:tabs>
        <w:spacing w:line="295" w:lineRule="auto"/>
        <w:ind w:left="1470"/>
        <w:rPr>
          <w:rFonts w:ascii="宋体" w:hAnsi="宋体" w:cs="Arial"/>
          <w:sz w:val="24"/>
        </w:rPr>
      </w:pPr>
      <w:r>
        <w:rPr>
          <w:rFonts w:hint="eastAsia" w:ascii="宋体" w:hAnsi="宋体" w:cs="Arial"/>
          <w:sz w:val="24"/>
        </w:rPr>
        <w:t>公司定期报告内容应当经董事会审议通过，未经董事会审议通过的定期报告不得披露。</w:t>
      </w:r>
    </w:p>
    <w:p w14:paraId="5501D23B">
      <w:pPr>
        <w:tabs>
          <w:tab w:val="left" w:pos="1470"/>
        </w:tabs>
        <w:spacing w:line="295" w:lineRule="auto"/>
        <w:ind w:left="1470"/>
        <w:rPr>
          <w:rFonts w:ascii="宋体" w:hAnsi="宋体" w:cs="Arial"/>
          <w:sz w:val="24"/>
        </w:rPr>
      </w:pPr>
    </w:p>
    <w:p w14:paraId="0362ED63">
      <w:pPr>
        <w:tabs>
          <w:tab w:val="left" w:pos="1470"/>
        </w:tabs>
        <w:spacing w:line="295" w:lineRule="auto"/>
        <w:ind w:left="1470"/>
        <w:rPr>
          <w:rFonts w:ascii="宋体" w:hAnsi="宋体" w:cs="Arial"/>
          <w:sz w:val="24"/>
        </w:rPr>
      </w:pPr>
      <w:r>
        <w:rPr>
          <w:rFonts w:hint="eastAsia" w:ascii="宋体" w:hAnsi="宋体" w:cs="Arial"/>
          <w:sz w:val="24"/>
        </w:rPr>
        <w:t>定期报告未经董事会审议、董事会审议未通过或者因故无法形成有关董事会决议的，公司应当披露具体原因和存在的风险、董事会的专项说明以及独立董事意见。</w:t>
      </w:r>
    </w:p>
    <w:p w14:paraId="4A8B726C">
      <w:pPr>
        <w:tabs>
          <w:tab w:val="left" w:pos="1470"/>
        </w:tabs>
        <w:spacing w:line="295" w:lineRule="auto"/>
        <w:ind w:left="1470"/>
        <w:rPr>
          <w:rFonts w:ascii="宋体" w:hAnsi="宋体" w:cs="Arial"/>
          <w:sz w:val="24"/>
        </w:rPr>
      </w:pPr>
    </w:p>
    <w:p w14:paraId="5C80A034">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董事、高级管理人员应当对定期报告签署书面确认意见，说明董事会的编制和审议程序是否符合法律法规、深圳证券交易所有关规定的要求，定期报告的内容是否能够真实、准确、完整地反映公司的实际情况。</w:t>
      </w:r>
    </w:p>
    <w:p w14:paraId="4334905C">
      <w:pPr>
        <w:tabs>
          <w:tab w:val="left" w:pos="1470"/>
        </w:tabs>
        <w:spacing w:line="295" w:lineRule="auto"/>
        <w:ind w:left="1470"/>
        <w:rPr>
          <w:rFonts w:ascii="宋体" w:hAnsi="宋体" w:cs="Arial"/>
          <w:sz w:val="24"/>
        </w:rPr>
      </w:pPr>
    </w:p>
    <w:p w14:paraId="68135392">
      <w:pPr>
        <w:tabs>
          <w:tab w:val="left" w:pos="1470"/>
        </w:tabs>
        <w:spacing w:line="295" w:lineRule="auto"/>
        <w:ind w:left="1470"/>
        <w:rPr>
          <w:rFonts w:ascii="宋体" w:hAnsi="宋体" w:cs="Arial"/>
          <w:sz w:val="24"/>
        </w:rPr>
      </w:pPr>
    </w:p>
    <w:p w14:paraId="010218FC">
      <w:pPr>
        <w:tabs>
          <w:tab w:val="left" w:pos="1470"/>
        </w:tabs>
        <w:spacing w:line="295" w:lineRule="auto"/>
        <w:ind w:left="1470"/>
        <w:rPr>
          <w:rFonts w:ascii="宋体" w:hAnsi="宋体" w:cs="Arial"/>
          <w:sz w:val="24"/>
        </w:rPr>
      </w:pPr>
      <w:r>
        <w:rPr>
          <w:rFonts w:hint="eastAsia" w:ascii="宋体" w:hAnsi="宋体" w:cs="Arial"/>
          <w:sz w:val="24"/>
        </w:rPr>
        <w:t>公司董事无法保证定期报告内容的真实性、准确性、完整性或者有异议的，应当在董事会审议定期报告时投反对票或者弃权票。审计委员会成员无法保证定期报告中财务信息的真实性、准确性、完整性或者有异议的，应当在审计委员会审核定期报告时投反对票或者弃权票。</w:t>
      </w:r>
    </w:p>
    <w:p w14:paraId="39425A30">
      <w:pPr>
        <w:tabs>
          <w:tab w:val="left" w:pos="1470"/>
        </w:tabs>
        <w:spacing w:line="295" w:lineRule="auto"/>
        <w:ind w:left="1470"/>
        <w:rPr>
          <w:rFonts w:ascii="宋体" w:hAnsi="宋体" w:cs="Arial"/>
          <w:sz w:val="24"/>
        </w:rPr>
      </w:pPr>
    </w:p>
    <w:p w14:paraId="62B9DE2E">
      <w:pPr>
        <w:tabs>
          <w:tab w:val="left" w:pos="1470"/>
        </w:tabs>
        <w:spacing w:line="295" w:lineRule="auto"/>
        <w:ind w:left="1470"/>
        <w:rPr>
          <w:rFonts w:ascii="宋体" w:hAnsi="宋体" w:cs="Arial"/>
          <w:sz w:val="24"/>
        </w:rPr>
      </w:pPr>
      <w:r>
        <w:rPr>
          <w:rFonts w:hint="eastAsia" w:ascii="宋体" w:hAnsi="宋体" w:cs="Arial"/>
          <w:sz w:val="24"/>
        </w:rPr>
        <w:t>公司董事和高级管理人员无法保证定期报告内容的真实性、准确性、完整性或者有异议的，应当在书面确认意见中发表意见并陈述理由，公司应当披露。公司不予披露的，董事和高级管理人员可以直接申请披露。</w:t>
      </w:r>
    </w:p>
    <w:p w14:paraId="2DBFFF0D">
      <w:pPr>
        <w:tabs>
          <w:tab w:val="left" w:pos="1470"/>
        </w:tabs>
        <w:spacing w:line="295" w:lineRule="auto"/>
        <w:ind w:left="1470"/>
        <w:rPr>
          <w:rFonts w:ascii="宋体" w:hAnsi="宋体" w:cs="Arial"/>
          <w:sz w:val="24"/>
        </w:rPr>
      </w:pPr>
    </w:p>
    <w:p w14:paraId="640D9044">
      <w:pPr>
        <w:tabs>
          <w:tab w:val="left" w:pos="1470"/>
        </w:tabs>
        <w:spacing w:line="295" w:lineRule="auto"/>
        <w:ind w:left="1470"/>
        <w:rPr>
          <w:rFonts w:ascii="宋体" w:hAnsi="宋体" w:cs="Arial"/>
          <w:sz w:val="24"/>
        </w:rPr>
      </w:pPr>
      <w:r>
        <w:rPr>
          <w:rFonts w:hint="eastAsia" w:ascii="宋体" w:hAnsi="宋体" w:cs="Arial"/>
          <w:sz w:val="24"/>
        </w:rPr>
        <w:t>董事和高级管理人员按照前款规定发表意见，应当遵循审慎原则，其保证定期报告内容的真实性、准确性、完整性的责任不仅因发表意见而当然免除。</w:t>
      </w:r>
    </w:p>
    <w:p w14:paraId="33859ADC">
      <w:pPr>
        <w:tabs>
          <w:tab w:val="left" w:pos="1470"/>
        </w:tabs>
        <w:spacing w:line="295" w:lineRule="auto"/>
        <w:ind w:left="1470"/>
        <w:rPr>
          <w:rFonts w:ascii="宋体" w:hAnsi="宋体" w:cs="Arial"/>
          <w:sz w:val="24"/>
        </w:rPr>
      </w:pPr>
    </w:p>
    <w:p w14:paraId="6EA98DD3">
      <w:pPr>
        <w:tabs>
          <w:tab w:val="left" w:pos="1470"/>
        </w:tabs>
        <w:spacing w:line="295" w:lineRule="auto"/>
        <w:ind w:left="1470"/>
        <w:rPr>
          <w:rFonts w:ascii="宋体" w:hAnsi="宋体" w:cs="Arial"/>
          <w:sz w:val="24"/>
        </w:rPr>
      </w:pPr>
      <w:r>
        <w:rPr>
          <w:rFonts w:hint="eastAsia" w:ascii="宋体" w:hAnsi="宋体" w:cs="Arial"/>
          <w:sz w:val="24"/>
        </w:rPr>
        <w:t>董事、高级管理人员不得以任何理由拒绝对定期报告签署书面意见。</w:t>
      </w:r>
    </w:p>
    <w:p w14:paraId="6F79D458">
      <w:pPr>
        <w:tabs>
          <w:tab w:val="left" w:pos="1470"/>
        </w:tabs>
        <w:spacing w:line="295" w:lineRule="auto"/>
        <w:ind w:left="1470"/>
        <w:rPr>
          <w:rFonts w:ascii="宋体" w:hAnsi="宋体" w:cs="Arial"/>
          <w:sz w:val="24"/>
        </w:rPr>
      </w:pPr>
    </w:p>
    <w:p w14:paraId="242C8C3F">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公司年度报告中的财务会计报告应当经会计师事务所审计。未经审计的，公司不得披露年度报告。</w:t>
      </w:r>
    </w:p>
    <w:p w14:paraId="07BAA824">
      <w:pPr>
        <w:tabs>
          <w:tab w:val="left" w:pos="1470"/>
        </w:tabs>
        <w:spacing w:line="295" w:lineRule="auto"/>
        <w:ind w:left="1470"/>
        <w:rPr>
          <w:rFonts w:ascii="宋体" w:hAnsi="宋体" w:cs="Arial"/>
          <w:sz w:val="24"/>
        </w:rPr>
      </w:pPr>
    </w:p>
    <w:p w14:paraId="673196F0">
      <w:pPr>
        <w:tabs>
          <w:tab w:val="left" w:pos="1470"/>
        </w:tabs>
        <w:spacing w:line="295" w:lineRule="auto"/>
        <w:ind w:left="1470"/>
        <w:rPr>
          <w:rFonts w:ascii="宋体" w:hAnsi="宋体" w:cs="Arial"/>
          <w:sz w:val="24"/>
        </w:rPr>
      </w:pPr>
      <w:r>
        <w:rPr>
          <w:rFonts w:hint="eastAsia" w:ascii="宋体" w:hAnsi="宋体" w:cs="Arial"/>
          <w:sz w:val="24"/>
        </w:rPr>
        <w:t>公司半年度报告中的财务会计报告可以不经审计，但有下列情形之一的，公司应当审计：</w:t>
      </w:r>
    </w:p>
    <w:p w14:paraId="7AF67B09">
      <w:pPr>
        <w:numPr>
          <w:ilvl w:val="0"/>
          <w:numId w:val="8"/>
        </w:numPr>
        <w:tabs>
          <w:tab w:val="left" w:pos="2160"/>
        </w:tabs>
        <w:spacing w:line="288" w:lineRule="auto"/>
        <w:ind w:left="2158" w:leftChars="685" w:hanging="720"/>
        <w:rPr>
          <w:rFonts w:ascii="宋体" w:hAnsi="宋体" w:cs="Arial"/>
          <w:sz w:val="24"/>
        </w:rPr>
      </w:pPr>
      <w:r>
        <w:rPr>
          <w:rFonts w:hint="eastAsia" w:ascii="宋体" w:hAnsi="宋体" w:cs="Arial"/>
          <w:sz w:val="24"/>
        </w:rPr>
        <w:t>拟依据半年度财务数据派发股票股利、进行公积金转增股本或者弥补亏损；</w:t>
      </w:r>
    </w:p>
    <w:p w14:paraId="678A5EA1">
      <w:pPr>
        <w:numPr>
          <w:ilvl w:val="0"/>
          <w:numId w:val="8"/>
        </w:numPr>
        <w:tabs>
          <w:tab w:val="left" w:pos="2160"/>
        </w:tabs>
        <w:spacing w:line="288" w:lineRule="auto"/>
        <w:ind w:left="2158" w:leftChars="685" w:hanging="720"/>
        <w:rPr>
          <w:rFonts w:ascii="宋体" w:hAnsi="宋体" w:cs="Arial"/>
          <w:sz w:val="24"/>
        </w:rPr>
      </w:pPr>
      <w:r>
        <w:rPr>
          <w:rFonts w:hint="eastAsia" w:ascii="宋体" w:hAnsi="宋体" w:cs="Arial"/>
          <w:sz w:val="24"/>
        </w:rPr>
        <w:t>中国证监会或者深圳证券交易所认为应当进行审计的其他情形。</w:t>
      </w:r>
    </w:p>
    <w:p w14:paraId="000FB183">
      <w:pPr>
        <w:tabs>
          <w:tab w:val="left" w:pos="1470"/>
        </w:tabs>
        <w:spacing w:line="295" w:lineRule="auto"/>
        <w:ind w:left="1470"/>
        <w:rPr>
          <w:rFonts w:ascii="宋体" w:hAnsi="宋体" w:cs="Arial"/>
          <w:sz w:val="24"/>
        </w:rPr>
      </w:pPr>
    </w:p>
    <w:p w14:paraId="5321CC89">
      <w:pPr>
        <w:tabs>
          <w:tab w:val="left" w:pos="1470"/>
        </w:tabs>
        <w:spacing w:line="295" w:lineRule="auto"/>
        <w:ind w:left="1470"/>
        <w:rPr>
          <w:rFonts w:ascii="宋体" w:hAnsi="宋体" w:cs="Arial"/>
          <w:sz w:val="24"/>
        </w:rPr>
      </w:pPr>
      <w:r>
        <w:rPr>
          <w:rFonts w:hint="eastAsia" w:ascii="宋体" w:hAnsi="宋体" w:cs="Arial"/>
          <w:sz w:val="24"/>
        </w:rPr>
        <w:t>公司季度报告中的财务资料无须审计，但中国证监会或者深圳证券交易所另有规定的除外。</w:t>
      </w:r>
    </w:p>
    <w:p w14:paraId="182B43B4">
      <w:pPr>
        <w:pStyle w:val="2"/>
        <w:spacing w:before="0" w:after="0" w:line="300" w:lineRule="auto"/>
        <w:jc w:val="center"/>
        <w:rPr>
          <w:rFonts w:ascii="宋体" w:hAnsi="宋体" w:cs="Arial"/>
          <w:sz w:val="24"/>
          <w:szCs w:val="24"/>
        </w:rPr>
      </w:pPr>
      <w:bookmarkStart w:id="2" w:name="_Toc168994067"/>
      <w:r>
        <w:rPr>
          <w:rFonts w:ascii="宋体" w:hAnsi="宋体" w:cs="Arial"/>
          <w:sz w:val="24"/>
          <w:szCs w:val="24"/>
        </w:rPr>
        <w:t>第二节  临时报告及重大事件的披露</w:t>
      </w:r>
      <w:bookmarkEnd w:id="2"/>
    </w:p>
    <w:p w14:paraId="3E26A57F">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公司披露的除定期报告之外的其他公告为临时公告。</w:t>
      </w:r>
    </w:p>
    <w:p w14:paraId="5665C926">
      <w:pPr>
        <w:tabs>
          <w:tab w:val="left" w:pos="1470"/>
        </w:tabs>
        <w:spacing w:line="295" w:lineRule="auto"/>
        <w:rPr>
          <w:rFonts w:ascii="宋体" w:hAnsi="宋体" w:cs="Arial"/>
          <w:sz w:val="24"/>
        </w:rPr>
      </w:pPr>
    </w:p>
    <w:p w14:paraId="7DA405EB">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发生可能对公司证券及其衍生品种交易价格产生较大影响的重大事件, 投资者尚未得知时, 公司应当立即披露, 说明事件的起因、目前的状态和可能产生的影响。</w:t>
      </w:r>
    </w:p>
    <w:p w14:paraId="67779132">
      <w:pPr>
        <w:tabs>
          <w:tab w:val="left" w:pos="1740"/>
        </w:tabs>
        <w:spacing w:line="288" w:lineRule="auto"/>
        <w:rPr>
          <w:rFonts w:ascii="宋体" w:hAnsi="宋体" w:cs="Arial"/>
          <w:sz w:val="24"/>
        </w:rPr>
      </w:pPr>
    </w:p>
    <w:p w14:paraId="462A16F0">
      <w:pPr>
        <w:pStyle w:val="4"/>
        <w:spacing w:line="288" w:lineRule="auto"/>
        <w:ind w:left="1470"/>
        <w:rPr>
          <w:rFonts w:ascii="宋体" w:hAnsi="宋体" w:cs="Arial"/>
          <w:sz w:val="24"/>
          <w:szCs w:val="24"/>
        </w:rPr>
      </w:pPr>
      <w:r>
        <w:rPr>
          <w:rFonts w:ascii="宋体" w:hAnsi="宋体" w:cs="Arial"/>
          <w:color w:val="auto"/>
          <w:sz w:val="24"/>
          <w:szCs w:val="24"/>
        </w:rPr>
        <w:t xml:space="preserve">前款所称重大事件包括: </w:t>
      </w:r>
    </w:p>
    <w:p w14:paraId="41FCEA6E">
      <w:pPr>
        <w:numPr>
          <w:ilvl w:val="0"/>
          <w:numId w:val="9"/>
        </w:numPr>
        <w:tabs>
          <w:tab w:val="left" w:pos="1440"/>
          <w:tab w:val="left" w:pos="2340"/>
          <w:tab w:val="clear" w:pos="1575"/>
        </w:tabs>
        <w:spacing w:line="288" w:lineRule="auto"/>
        <w:ind w:left="2379" w:leftChars="686" w:hanging="938" w:hangingChars="391"/>
        <w:rPr>
          <w:rFonts w:ascii="宋体" w:hAnsi="宋体" w:cs="Arial"/>
          <w:sz w:val="24"/>
        </w:rPr>
      </w:pPr>
      <w:r>
        <w:rPr>
          <w:rFonts w:hint="eastAsia" w:ascii="宋体" w:hAnsi="宋体" w:cs="Arial"/>
          <w:sz w:val="24"/>
        </w:rPr>
        <w:t>《证券法》第八十条第二款规定的重大事件</w:t>
      </w:r>
      <w:r>
        <w:rPr>
          <w:rFonts w:ascii="宋体" w:hAnsi="宋体" w:cs="Arial"/>
          <w:sz w:val="24"/>
        </w:rPr>
        <w:t>;</w:t>
      </w:r>
    </w:p>
    <w:p w14:paraId="2BBD7483">
      <w:pPr>
        <w:numPr>
          <w:ilvl w:val="0"/>
          <w:numId w:val="9"/>
        </w:numPr>
        <w:tabs>
          <w:tab w:val="left" w:pos="1440"/>
          <w:tab w:val="left" w:pos="2340"/>
          <w:tab w:val="clear" w:pos="1575"/>
        </w:tabs>
        <w:spacing w:line="288" w:lineRule="auto"/>
        <w:ind w:left="2379" w:leftChars="686" w:hanging="938" w:hangingChars="391"/>
        <w:rPr>
          <w:rFonts w:ascii="宋体" w:hAnsi="宋体" w:cs="Arial"/>
          <w:sz w:val="24"/>
        </w:rPr>
      </w:pPr>
      <w:r>
        <w:rPr>
          <w:rFonts w:hint="eastAsia" w:ascii="宋体" w:hAnsi="宋体" w:cs="Arial"/>
          <w:sz w:val="24"/>
        </w:rPr>
        <w:t>公司发生大额赔偿责任</w:t>
      </w:r>
      <w:r>
        <w:rPr>
          <w:rFonts w:ascii="宋体" w:hAnsi="宋体" w:cs="Arial"/>
          <w:sz w:val="24"/>
        </w:rPr>
        <w:t>;</w:t>
      </w:r>
    </w:p>
    <w:p w14:paraId="779D5897">
      <w:pPr>
        <w:numPr>
          <w:ilvl w:val="0"/>
          <w:numId w:val="9"/>
        </w:numPr>
        <w:tabs>
          <w:tab w:val="left" w:pos="1440"/>
          <w:tab w:val="left" w:pos="2340"/>
          <w:tab w:val="clear" w:pos="1575"/>
        </w:tabs>
        <w:spacing w:line="288" w:lineRule="auto"/>
        <w:ind w:left="2379" w:leftChars="686" w:hanging="938" w:hangingChars="391"/>
        <w:rPr>
          <w:rFonts w:ascii="宋体" w:hAnsi="宋体" w:cs="Arial"/>
          <w:sz w:val="24"/>
        </w:rPr>
      </w:pPr>
      <w:r>
        <w:rPr>
          <w:rFonts w:hint="eastAsia" w:ascii="宋体" w:hAnsi="宋体" w:cs="Arial"/>
          <w:sz w:val="24"/>
        </w:rPr>
        <w:t>公司计提大额资产减值准备</w:t>
      </w:r>
      <w:r>
        <w:rPr>
          <w:rFonts w:ascii="宋体" w:hAnsi="宋体" w:cs="Arial"/>
          <w:sz w:val="24"/>
        </w:rPr>
        <w:t>;</w:t>
      </w:r>
    </w:p>
    <w:p w14:paraId="6D4A940A">
      <w:pPr>
        <w:numPr>
          <w:ilvl w:val="0"/>
          <w:numId w:val="9"/>
        </w:numPr>
        <w:tabs>
          <w:tab w:val="left" w:pos="1440"/>
          <w:tab w:val="left" w:pos="2340"/>
          <w:tab w:val="clear" w:pos="1575"/>
        </w:tabs>
        <w:spacing w:line="288" w:lineRule="auto"/>
        <w:ind w:left="2379" w:leftChars="686" w:hanging="938" w:hangingChars="391"/>
        <w:rPr>
          <w:rFonts w:ascii="宋体" w:hAnsi="宋体" w:cs="Arial"/>
          <w:sz w:val="24"/>
        </w:rPr>
      </w:pPr>
      <w:r>
        <w:rPr>
          <w:rFonts w:hint="eastAsia" w:ascii="宋体" w:hAnsi="宋体" w:cs="Arial"/>
          <w:sz w:val="24"/>
        </w:rPr>
        <w:t>公司出现股东权益为负值</w:t>
      </w:r>
      <w:r>
        <w:rPr>
          <w:rFonts w:ascii="宋体" w:hAnsi="宋体" w:cs="Arial"/>
          <w:sz w:val="24"/>
        </w:rPr>
        <w:t>;</w:t>
      </w:r>
    </w:p>
    <w:p w14:paraId="2D90DDB0">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公司主要债务人出现资不抵债或者进入破产程序，公司对相应债权未提取足额坏账准备</w:t>
      </w:r>
      <w:r>
        <w:rPr>
          <w:rFonts w:ascii="宋体" w:hAnsi="宋体" w:cs="Arial"/>
          <w:sz w:val="24"/>
        </w:rPr>
        <w:t>;</w:t>
      </w:r>
    </w:p>
    <w:p w14:paraId="5CB9C3DF">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新公布的法律、行政法规、规章、行业政策可能对公司产生重大影响</w:t>
      </w:r>
      <w:r>
        <w:rPr>
          <w:rFonts w:ascii="宋体" w:hAnsi="宋体" w:cs="Arial"/>
          <w:sz w:val="24"/>
        </w:rPr>
        <w:t>;</w:t>
      </w:r>
    </w:p>
    <w:p w14:paraId="037A99DD">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公司开展股权激励、回购股份、重大资产重组、资产分拆上市或者挂牌</w:t>
      </w:r>
      <w:r>
        <w:rPr>
          <w:rFonts w:ascii="宋体" w:hAnsi="宋体" w:cs="Arial"/>
          <w:sz w:val="24"/>
        </w:rPr>
        <w:t>;</w:t>
      </w:r>
    </w:p>
    <w:p w14:paraId="3361818B">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法院裁决禁止控股股东转让其所持股份；任一股东所持公司百分之五以上股份被质押、冻结、司法拍卖、托管、设定信托或者被依法限制表决权等，或者出现被强制过户风险；</w:t>
      </w:r>
    </w:p>
    <w:p w14:paraId="6E313D70">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主要资产被查封、扣押或者冻结；主要银行账户被冻结；</w:t>
      </w:r>
    </w:p>
    <w:p w14:paraId="5A744EC1">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公司预计经营业绩发生亏损或者发生大幅变动；</w:t>
      </w:r>
    </w:p>
    <w:p w14:paraId="101FD47A">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主要或者全部业务陷入停顿；</w:t>
      </w:r>
    </w:p>
    <w:p w14:paraId="668FAB9B">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获得对当期损益产生重大影响的额外收益，可能对公司的资产、负债、权益或者经营成果产生重要影响；</w:t>
      </w:r>
    </w:p>
    <w:p w14:paraId="36B1C47D">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聘任或者解聘为公司审计的会计师事务所；</w:t>
      </w:r>
    </w:p>
    <w:p w14:paraId="4EE8B8D7">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会计政策、会计估计重大自主变更；</w:t>
      </w:r>
    </w:p>
    <w:p w14:paraId="6FCFC30A">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因前期已披露的信息存在差错、未按规定披露或者虚假记载，被有关机关责令改正或者经董事会决定进行更正；</w:t>
      </w:r>
    </w:p>
    <w:p w14:paraId="222FE0BC">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公司或者其控股股东、实际控制人、董事、高级管理人员受到刑事处罚，涉嫌违法违规被中国证监会立案调查或者受到中国证监会行政处罚，或者受到其他有权机关重大行政处罚；</w:t>
      </w:r>
    </w:p>
    <w:p w14:paraId="0A223753">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公司的控股股东、实际控制人、董事、高级管理人员涉嫌严重违纪违法或者职务犯罪被纪检监察机关采取留置措施且影响其履行职责；</w:t>
      </w:r>
    </w:p>
    <w:p w14:paraId="7405889D">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除董事长或者经理外的公司其他董事、高级管理人员因身体、工作安排等原因无法正常履行职责达到或者预计达到三个月以上，或者因涉嫌违法违规被有权机关采取强制措施且影响其履行职责；</w:t>
      </w:r>
    </w:p>
    <w:p w14:paraId="747D8E14">
      <w:pPr>
        <w:numPr>
          <w:ilvl w:val="0"/>
          <w:numId w:val="9"/>
        </w:numPr>
        <w:tabs>
          <w:tab w:val="left" w:pos="1440"/>
          <w:tab w:val="left" w:pos="2380"/>
          <w:tab w:val="clear" w:pos="1575"/>
        </w:tabs>
        <w:spacing w:line="288" w:lineRule="auto"/>
        <w:ind w:left="2379" w:leftChars="686" w:hanging="938" w:hangingChars="391"/>
        <w:rPr>
          <w:rFonts w:ascii="宋体" w:hAnsi="宋体" w:cs="Arial"/>
          <w:sz w:val="24"/>
        </w:rPr>
      </w:pPr>
      <w:r>
        <w:rPr>
          <w:rFonts w:hint="eastAsia" w:ascii="宋体" w:hAnsi="宋体" w:cs="Arial"/>
          <w:sz w:val="24"/>
        </w:rPr>
        <w:t>中国证监会、深圳证券交易所规定的其他事项。</w:t>
      </w:r>
    </w:p>
    <w:p w14:paraId="0E80B716">
      <w:pPr>
        <w:tabs>
          <w:tab w:val="left" w:pos="1440"/>
          <w:tab w:val="left" w:pos="2340"/>
        </w:tabs>
        <w:spacing w:line="288" w:lineRule="auto"/>
        <w:ind w:left="2379"/>
        <w:rPr>
          <w:rFonts w:ascii="宋体" w:hAnsi="宋体" w:cs="Arial"/>
          <w:sz w:val="24"/>
        </w:rPr>
      </w:pPr>
    </w:p>
    <w:p w14:paraId="2264957F">
      <w:pPr>
        <w:tabs>
          <w:tab w:val="left" w:pos="1440"/>
          <w:tab w:val="left" w:pos="2340"/>
        </w:tabs>
        <w:spacing w:line="288" w:lineRule="auto"/>
        <w:ind w:left="1497" w:leftChars="713"/>
        <w:rPr>
          <w:rFonts w:ascii="宋体" w:hAnsi="宋体" w:cs="Arial"/>
          <w:sz w:val="24"/>
        </w:rPr>
      </w:pPr>
      <w:r>
        <w:rPr>
          <w:rFonts w:hint="eastAsia" w:ascii="宋体" w:hAnsi="宋体" w:cs="Arial"/>
          <w:sz w:val="24"/>
        </w:rPr>
        <w:t>公司的控股股东或者实际控制人对重大事件的发生、进展产生较大影响的，应当及时将其知悉的有关情况书面告知公司，并配合公司履行信息披露义务。</w:t>
      </w:r>
    </w:p>
    <w:p w14:paraId="4CB4115E">
      <w:pPr>
        <w:tabs>
          <w:tab w:val="left" w:pos="1440"/>
          <w:tab w:val="left" w:pos="2340"/>
        </w:tabs>
        <w:spacing w:line="288" w:lineRule="auto"/>
        <w:ind w:left="1497" w:leftChars="713"/>
        <w:rPr>
          <w:rFonts w:ascii="宋体" w:hAnsi="宋体" w:cs="Arial"/>
          <w:sz w:val="24"/>
        </w:rPr>
      </w:pPr>
    </w:p>
    <w:p w14:paraId="05098C70">
      <w:pPr>
        <w:tabs>
          <w:tab w:val="left" w:pos="1440"/>
          <w:tab w:val="left" w:pos="2340"/>
        </w:tabs>
        <w:spacing w:line="288" w:lineRule="auto"/>
        <w:ind w:left="1497" w:leftChars="713"/>
        <w:rPr>
          <w:rFonts w:ascii="宋体" w:hAnsi="宋体" w:cs="Arial"/>
          <w:sz w:val="24"/>
        </w:rPr>
      </w:pPr>
      <w:r>
        <w:rPr>
          <w:rFonts w:hint="eastAsia" w:ascii="宋体" w:hAnsi="宋体" w:cs="Arial"/>
          <w:sz w:val="24"/>
        </w:rPr>
        <w:t>公司变更公司名称、股票简称、公司章程、注册资本、注册地址、主要办公地址和联系电话等, 应当立即披露。</w:t>
      </w:r>
    </w:p>
    <w:p w14:paraId="49279F11">
      <w:pPr>
        <w:tabs>
          <w:tab w:val="left" w:pos="1740"/>
        </w:tabs>
        <w:spacing w:line="295" w:lineRule="auto"/>
        <w:rPr>
          <w:rFonts w:ascii="宋体" w:hAnsi="宋体" w:cs="Arial"/>
          <w:sz w:val="24"/>
        </w:rPr>
      </w:pPr>
    </w:p>
    <w:p w14:paraId="4290C39A">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公司及相关信息披露义务人应当在涉及的重大事项触及下列任一时点及时履行信息披露义务</w:t>
      </w:r>
      <w:r>
        <w:rPr>
          <w:rFonts w:ascii="宋体" w:hAnsi="宋体" w:cs="Arial"/>
          <w:sz w:val="24"/>
        </w:rPr>
        <w:t>:</w:t>
      </w:r>
    </w:p>
    <w:p w14:paraId="6BD6DFDD">
      <w:pPr>
        <w:numPr>
          <w:ilvl w:val="0"/>
          <w:numId w:val="10"/>
        </w:numPr>
        <w:tabs>
          <w:tab w:val="left" w:pos="2205"/>
          <w:tab w:val="left" w:pos="2835"/>
          <w:tab w:val="clear" w:pos="1575"/>
        </w:tabs>
        <w:spacing w:line="295" w:lineRule="auto"/>
        <w:ind w:left="2125" w:leftChars="700" w:hanging="655" w:hangingChars="273"/>
        <w:rPr>
          <w:rFonts w:ascii="宋体" w:hAnsi="宋体" w:cs="Arial"/>
          <w:sz w:val="24"/>
        </w:rPr>
      </w:pPr>
      <w:r>
        <w:rPr>
          <w:rFonts w:ascii="宋体" w:hAnsi="宋体" w:cs="Arial"/>
          <w:sz w:val="24"/>
        </w:rPr>
        <w:t>董事会就该重大事件形成决议时;</w:t>
      </w:r>
    </w:p>
    <w:p w14:paraId="75212264">
      <w:pPr>
        <w:numPr>
          <w:ilvl w:val="0"/>
          <w:numId w:val="10"/>
        </w:numPr>
        <w:tabs>
          <w:tab w:val="left" w:pos="2205"/>
          <w:tab w:val="left" w:pos="2835"/>
          <w:tab w:val="clear" w:pos="1575"/>
        </w:tabs>
        <w:spacing w:line="295" w:lineRule="auto"/>
        <w:ind w:left="2125" w:leftChars="700" w:hanging="655" w:hangingChars="273"/>
        <w:rPr>
          <w:rFonts w:ascii="宋体" w:hAnsi="宋体" w:cs="Arial"/>
          <w:sz w:val="24"/>
        </w:rPr>
      </w:pPr>
      <w:r>
        <w:rPr>
          <w:rFonts w:hint="eastAsia" w:ascii="宋体" w:hAnsi="宋体" w:cs="Arial"/>
          <w:sz w:val="24"/>
        </w:rPr>
        <w:t>签署意向书或者协议（无论是否附加条件或者期限）时；</w:t>
      </w:r>
    </w:p>
    <w:p w14:paraId="60A908A9">
      <w:pPr>
        <w:numPr>
          <w:ilvl w:val="0"/>
          <w:numId w:val="10"/>
        </w:numPr>
        <w:tabs>
          <w:tab w:val="left" w:pos="2205"/>
          <w:tab w:val="left" w:pos="2835"/>
          <w:tab w:val="clear" w:pos="1575"/>
        </w:tabs>
        <w:spacing w:line="295" w:lineRule="auto"/>
        <w:ind w:left="2125" w:leftChars="700" w:hanging="655" w:hangingChars="273"/>
        <w:rPr>
          <w:rFonts w:ascii="宋体" w:hAnsi="宋体" w:cs="Arial"/>
          <w:sz w:val="24"/>
        </w:rPr>
      </w:pPr>
      <w:r>
        <w:rPr>
          <w:rFonts w:hint="eastAsia" w:ascii="宋体" w:hAnsi="宋体" w:cs="Arial"/>
          <w:sz w:val="24"/>
        </w:rPr>
        <w:t>公司（含任一董事或者高级管理人员）知悉重大事项发生时</w:t>
      </w:r>
      <w:r>
        <w:rPr>
          <w:rFonts w:ascii="宋体" w:hAnsi="宋体" w:cs="Arial"/>
          <w:sz w:val="24"/>
        </w:rPr>
        <w:t>;</w:t>
      </w:r>
    </w:p>
    <w:p w14:paraId="58EF6C23">
      <w:pPr>
        <w:numPr>
          <w:ilvl w:val="0"/>
          <w:numId w:val="10"/>
        </w:numPr>
        <w:tabs>
          <w:tab w:val="left" w:pos="2205"/>
          <w:tab w:val="left" w:pos="2835"/>
          <w:tab w:val="clear" w:pos="1575"/>
        </w:tabs>
        <w:spacing w:line="295" w:lineRule="auto"/>
        <w:ind w:left="2125" w:leftChars="700" w:hanging="655" w:hangingChars="273"/>
        <w:rPr>
          <w:rFonts w:ascii="宋体" w:hAnsi="宋体" w:cs="Arial"/>
          <w:sz w:val="24"/>
        </w:rPr>
      </w:pPr>
      <w:r>
        <w:rPr>
          <w:rFonts w:hint="eastAsia" w:ascii="宋体" w:hAnsi="宋体" w:cs="Arial"/>
          <w:sz w:val="24"/>
        </w:rPr>
        <w:t>发生重大事项的其他情形</w:t>
      </w:r>
      <w:r>
        <w:rPr>
          <w:rFonts w:ascii="宋体" w:hAnsi="宋体" w:cs="Arial"/>
          <w:sz w:val="24"/>
        </w:rPr>
        <w:t>。</w:t>
      </w:r>
    </w:p>
    <w:p w14:paraId="12B29AC2">
      <w:pPr>
        <w:spacing w:line="295" w:lineRule="auto"/>
        <w:rPr>
          <w:rFonts w:ascii="宋体" w:hAnsi="宋体" w:cs="Arial"/>
          <w:sz w:val="24"/>
        </w:rPr>
      </w:pPr>
    </w:p>
    <w:p w14:paraId="2DFE2D62">
      <w:pPr>
        <w:tabs>
          <w:tab w:val="left" w:pos="1470"/>
        </w:tabs>
        <w:spacing w:line="295" w:lineRule="auto"/>
        <w:ind w:left="1470"/>
        <w:rPr>
          <w:rFonts w:ascii="宋体" w:hAnsi="宋体" w:cs="Arial"/>
          <w:sz w:val="24"/>
        </w:rPr>
      </w:pPr>
      <w:r>
        <w:rPr>
          <w:rFonts w:hint="eastAsia" w:ascii="宋体" w:hAnsi="宋体" w:cs="Arial"/>
          <w:sz w:val="24"/>
        </w:rPr>
        <w:t>对公司股票及其衍生品种交易价格可能产生较大影响的重大事件正在筹划阶段,虽然尚未触及前款规定的时点,但出现下列情形之一的,公司应当及时披露相关筹划情况和既有事实：</w:t>
      </w:r>
    </w:p>
    <w:p w14:paraId="0E314CA3">
      <w:pPr>
        <w:numPr>
          <w:ilvl w:val="0"/>
          <w:numId w:val="11"/>
        </w:numPr>
        <w:tabs>
          <w:tab w:val="left" w:pos="2205"/>
          <w:tab w:val="clear" w:pos="1575"/>
        </w:tabs>
        <w:spacing w:line="295" w:lineRule="auto"/>
        <w:ind w:left="2205" w:hanging="735"/>
        <w:rPr>
          <w:rFonts w:ascii="宋体" w:hAnsi="宋体" w:cs="Arial"/>
          <w:sz w:val="24"/>
        </w:rPr>
      </w:pPr>
      <w:r>
        <w:rPr>
          <w:rFonts w:ascii="宋体" w:hAnsi="宋体" w:cs="Arial"/>
          <w:sz w:val="24"/>
        </w:rPr>
        <w:t>该重大事件难以保密;</w:t>
      </w:r>
    </w:p>
    <w:p w14:paraId="5A4E9A65">
      <w:pPr>
        <w:numPr>
          <w:ilvl w:val="0"/>
          <w:numId w:val="11"/>
        </w:numPr>
        <w:tabs>
          <w:tab w:val="left" w:pos="2205"/>
          <w:tab w:val="clear" w:pos="1575"/>
        </w:tabs>
        <w:spacing w:line="295" w:lineRule="auto"/>
        <w:ind w:left="2205" w:hanging="735"/>
        <w:rPr>
          <w:rFonts w:ascii="宋体" w:hAnsi="宋体" w:cs="Arial"/>
          <w:sz w:val="24"/>
        </w:rPr>
      </w:pPr>
      <w:r>
        <w:rPr>
          <w:rFonts w:ascii="宋体" w:hAnsi="宋体" w:cs="Arial"/>
          <w:sz w:val="24"/>
        </w:rPr>
        <w:t>该重大事件已经泄露或者市场出现传闻;</w:t>
      </w:r>
    </w:p>
    <w:p w14:paraId="1D8E7E51">
      <w:pPr>
        <w:numPr>
          <w:ilvl w:val="0"/>
          <w:numId w:val="11"/>
        </w:numPr>
        <w:tabs>
          <w:tab w:val="left" w:pos="2205"/>
          <w:tab w:val="clear" w:pos="1575"/>
        </w:tabs>
        <w:spacing w:line="295" w:lineRule="auto"/>
        <w:ind w:left="2205" w:hanging="735"/>
        <w:rPr>
          <w:rFonts w:ascii="宋体" w:hAnsi="宋体" w:cs="Arial"/>
          <w:sz w:val="24"/>
        </w:rPr>
      </w:pPr>
      <w:r>
        <w:rPr>
          <w:rFonts w:ascii="宋体" w:hAnsi="宋体" w:cs="Arial"/>
          <w:sz w:val="24"/>
        </w:rPr>
        <w:t>公司股票及其衍生品种的交易发生异常波动。</w:t>
      </w:r>
    </w:p>
    <w:p w14:paraId="24FA614A">
      <w:pPr>
        <w:spacing w:line="295" w:lineRule="auto"/>
        <w:rPr>
          <w:rFonts w:ascii="宋体" w:hAnsi="宋体" w:cs="Arial"/>
          <w:sz w:val="24"/>
        </w:rPr>
      </w:pPr>
    </w:p>
    <w:p w14:paraId="45423FEB">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公司及相关信息披露义务人筹划重大事项，持续时间较长的，可以按规定分阶段披露进展情况，</w:t>
      </w:r>
      <w:r>
        <w:rPr>
          <w:rFonts w:hint="eastAsia" w:ascii="宋体" w:hAnsi="宋体" w:cs="Arial"/>
          <w:color w:val="000000"/>
          <w:sz w:val="24"/>
        </w:rPr>
        <w:t>提示</w:t>
      </w:r>
      <w:r>
        <w:rPr>
          <w:rFonts w:hint="eastAsia" w:ascii="宋体" w:hAnsi="宋体" w:cs="Arial"/>
          <w:sz w:val="24"/>
        </w:rPr>
        <w:t>相关风险。</w:t>
      </w:r>
    </w:p>
    <w:p w14:paraId="04475A48">
      <w:pPr>
        <w:tabs>
          <w:tab w:val="left" w:pos="1470"/>
        </w:tabs>
        <w:spacing w:line="295" w:lineRule="auto"/>
        <w:ind w:left="1470"/>
        <w:rPr>
          <w:rFonts w:ascii="宋体" w:hAnsi="宋体" w:cs="Arial"/>
          <w:sz w:val="24"/>
        </w:rPr>
      </w:pPr>
    </w:p>
    <w:p w14:paraId="1351A5AB">
      <w:pPr>
        <w:tabs>
          <w:tab w:val="left" w:pos="1470"/>
        </w:tabs>
        <w:spacing w:line="295" w:lineRule="auto"/>
        <w:ind w:left="1470"/>
        <w:rPr>
          <w:rFonts w:ascii="宋体" w:hAnsi="宋体" w:cs="Arial"/>
          <w:sz w:val="24"/>
        </w:rPr>
      </w:pPr>
      <w:r>
        <w:rPr>
          <w:rFonts w:hint="eastAsia" w:ascii="宋体" w:hAnsi="宋体" w:cs="Arial"/>
          <w:sz w:val="24"/>
        </w:rPr>
        <w:t>已披露的事项发生变化，可能对公司股票及其衍生品种交易价格产生较大影响的，公司及相关信息披露义务人应当及时披露进展公告。</w:t>
      </w:r>
    </w:p>
    <w:p w14:paraId="3604C8D2">
      <w:pPr>
        <w:tabs>
          <w:tab w:val="left" w:pos="2205"/>
        </w:tabs>
        <w:spacing w:line="295" w:lineRule="auto"/>
        <w:rPr>
          <w:rFonts w:ascii="宋体" w:hAnsi="宋体" w:cs="Arial"/>
          <w:sz w:val="24"/>
        </w:rPr>
      </w:pPr>
    </w:p>
    <w:p w14:paraId="3B30244B">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公司应按照《管理办法》、《上市规则》及本制度的规定办理重大的披露工作, 公司重大事件的披露标准适用《上市规则》的相关规定。</w:t>
      </w:r>
    </w:p>
    <w:p w14:paraId="2BB13919">
      <w:pPr>
        <w:pStyle w:val="2"/>
        <w:spacing w:before="0" w:after="0" w:line="300" w:lineRule="auto"/>
        <w:jc w:val="center"/>
        <w:rPr>
          <w:rFonts w:ascii="宋体" w:hAnsi="宋体" w:cs="Arial"/>
          <w:sz w:val="24"/>
          <w:szCs w:val="24"/>
        </w:rPr>
      </w:pPr>
      <w:bookmarkStart w:id="3" w:name="_Toc168994068"/>
      <w:r>
        <w:rPr>
          <w:rFonts w:ascii="宋体" w:hAnsi="宋体" w:cs="Arial"/>
          <w:sz w:val="24"/>
          <w:szCs w:val="24"/>
        </w:rPr>
        <w:t>第三节  应披露的交易</w:t>
      </w:r>
      <w:bookmarkEnd w:id="3"/>
    </w:p>
    <w:p w14:paraId="2FD6F009">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本制度所称“</w:t>
      </w:r>
      <w:r>
        <w:rPr>
          <w:rFonts w:hint="eastAsia" w:ascii="宋体" w:hAnsi="宋体" w:cs="Arial"/>
          <w:sz w:val="24"/>
        </w:rPr>
        <w:t>重大</w:t>
      </w:r>
      <w:r>
        <w:rPr>
          <w:rFonts w:ascii="宋体" w:hAnsi="宋体" w:cs="Arial"/>
          <w:sz w:val="24"/>
        </w:rPr>
        <w:t>交易”包括</w:t>
      </w:r>
      <w:r>
        <w:rPr>
          <w:rFonts w:hint="eastAsia" w:ascii="宋体" w:hAnsi="宋体" w:cs="Arial"/>
          <w:sz w:val="24"/>
        </w:rPr>
        <w:t>除公司日常经营活动之外发生的下列类型的事项</w:t>
      </w:r>
      <w:r>
        <w:rPr>
          <w:rFonts w:ascii="宋体" w:hAnsi="宋体" w:cs="Arial"/>
          <w:sz w:val="24"/>
        </w:rPr>
        <w:t>:</w:t>
      </w:r>
    </w:p>
    <w:p w14:paraId="6175968C">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购买资产;</w:t>
      </w:r>
    </w:p>
    <w:p w14:paraId="598947D8">
      <w:pPr>
        <w:numPr>
          <w:ilvl w:val="0"/>
          <w:numId w:val="12"/>
        </w:numPr>
        <w:tabs>
          <w:tab w:val="left" w:pos="2205"/>
          <w:tab w:val="left" w:pos="2835"/>
          <w:tab w:val="clear" w:pos="1575"/>
        </w:tabs>
        <w:spacing w:line="295" w:lineRule="auto"/>
        <w:ind w:left="2835" w:hanging="1365"/>
        <w:rPr>
          <w:rFonts w:ascii="宋体" w:hAnsi="宋体" w:cs="Arial"/>
          <w:sz w:val="24"/>
        </w:rPr>
      </w:pPr>
      <w:r>
        <w:rPr>
          <w:rFonts w:hint="eastAsia" w:ascii="宋体" w:hAnsi="宋体" w:cs="Arial"/>
          <w:sz w:val="24"/>
        </w:rPr>
        <w:t>出售资产;</w:t>
      </w:r>
    </w:p>
    <w:p w14:paraId="6C3B5BC5">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对外投资(含委托理财、</w:t>
      </w:r>
      <w:r>
        <w:rPr>
          <w:rFonts w:hint="eastAsia" w:ascii="宋体" w:hAnsi="宋体" w:cs="Arial"/>
          <w:sz w:val="24"/>
        </w:rPr>
        <w:t>对子公司投资</w:t>
      </w:r>
      <w:r>
        <w:rPr>
          <w:rFonts w:ascii="宋体" w:hAnsi="宋体" w:cs="Arial"/>
          <w:sz w:val="24"/>
        </w:rPr>
        <w:t>等);</w:t>
      </w:r>
    </w:p>
    <w:p w14:paraId="2142A7A5">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提供财务资助</w:t>
      </w:r>
      <w:r>
        <w:rPr>
          <w:rFonts w:hint="eastAsia" w:ascii="宋体" w:hAnsi="宋体" w:cs="Arial"/>
          <w:sz w:val="24"/>
        </w:rPr>
        <w:t>（含委托贷款等）</w:t>
      </w:r>
      <w:r>
        <w:rPr>
          <w:rFonts w:ascii="宋体" w:hAnsi="宋体" w:cs="Arial"/>
          <w:sz w:val="24"/>
        </w:rPr>
        <w:t>;</w:t>
      </w:r>
    </w:p>
    <w:p w14:paraId="33CC9FDF">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提供担保</w:t>
      </w:r>
      <w:r>
        <w:rPr>
          <w:rFonts w:hint="eastAsia" w:ascii="宋体" w:hAnsi="宋体" w:cs="Arial"/>
          <w:sz w:val="24"/>
        </w:rPr>
        <w:t>（含对控股子公司担保等）</w:t>
      </w:r>
      <w:r>
        <w:rPr>
          <w:rFonts w:ascii="宋体" w:hAnsi="宋体" w:cs="Arial"/>
          <w:sz w:val="24"/>
        </w:rPr>
        <w:t>;</w:t>
      </w:r>
    </w:p>
    <w:p w14:paraId="1B7F7115">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租入或者租出资产;</w:t>
      </w:r>
    </w:p>
    <w:p w14:paraId="27D64552">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委托或者受托管理资产和业务;</w:t>
      </w:r>
    </w:p>
    <w:p w14:paraId="03C0A3D8">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赠与或者受赠资产;</w:t>
      </w:r>
    </w:p>
    <w:p w14:paraId="28FEBB34">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债权</w:t>
      </w:r>
      <w:r>
        <w:rPr>
          <w:rFonts w:hint="eastAsia" w:ascii="宋体" w:hAnsi="宋体" w:cs="Arial"/>
          <w:sz w:val="24"/>
        </w:rPr>
        <w:t>或者</w:t>
      </w:r>
      <w:r>
        <w:rPr>
          <w:rFonts w:ascii="宋体" w:hAnsi="宋体" w:cs="Arial"/>
          <w:sz w:val="24"/>
        </w:rPr>
        <w:t>债务重组;</w:t>
      </w:r>
    </w:p>
    <w:p w14:paraId="3AC734A5">
      <w:pPr>
        <w:numPr>
          <w:ilvl w:val="0"/>
          <w:numId w:val="12"/>
        </w:numPr>
        <w:tabs>
          <w:tab w:val="left" w:pos="2205"/>
          <w:tab w:val="left" w:pos="2835"/>
          <w:tab w:val="clear" w:pos="1575"/>
        </w:tabs>
        <w:spacing w:line="295" w:lineRule="auto"/>
        <w:ind w:left="2835" w:hanging="1365"/>
        <w:rPr>
          <w:rFonts w:ascii="宋体" w:hAnsi="宋体" w:cs="Arial"/>
          <w:sz w:val="24"/>
        </w:rPr>
      </w:pPr>
      <w:r>
        <w:rPr>
          <w:rFonts w:hint="eastAsia" w:ascii="宋体" w:hAnsi="宋体" w:cs="Arial"/>
          <w:sz w:val="24"/>
        </w:rPr>
        <w:t>转让或者受让研发项目;</w:t>
      </w:r>
    </w:p>
    <w:p w14:paraId="07373032">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签订许可使用协议;</w:t>
      </w:r>
    </w:p>
    <w:p w14:paraId="59D7D104">
      <w:pPr>
        <w:numPr>
          <w:ilvl w:val="0"/>
          <w:numId w:val="12"/>
        </w:numPr>
        <w:tabs>
          <w:tab w:val="left" w:pos="2205"/>
          <w:tab w:val="left" w:pos="2835"/>
          <w:tab w:val="clear" w:pos="1575"/>
        </w:tabs>
        <w:spacing w:line="295" w:lineRule="auto"/>
        <w:ind w:left="2835" w:hanging="1365"/>
        <w:rPr>
          <w:rFonts w:ascii="宋体" w:hAnsi="宋体" w:cs="Arial"/>
          <w:sz w:val="24"/>
        </w:rPr>
      </w:pPr>
      <w:r>
        <w:rPr>
          <w:rFonts w:hint="eastAsia" w:ascii="宋体" w:hAnsi="宋体" w:cs="Arial"/>
          <w:sz w:val="24"/>
        </w:rPr>
        <w:t>放弃权利（含放弃优先购买权、优先认缴出资权利等）</w:t>
      </w:r>
      <w:r>
        <w:rPr>
          <w:rFonts w:ascii="宋体" w:hAnsi="宋体" w:cs="Arial"/>
          <w:sz w:val="24"/>
        </w:rPr>
        <w:t>;</w:t>
      </w:r>
    </w:p>
    <w:p w14:paraId="133F9A9F">
      <w:pPr>
        <w:numPr>
          <w:ilvl w:val="0"/>
          <w:numId w:val="12"/>
        </w:numPr>
        <w:tabs>
          <w:tab w:val="left" w:pos="2205"/>
          <w:tab w:val="left" w:pos="2835"/>
          <w:tab w:val="clear" w:pos="1575"/>
        </w:tabs>
        <w:spacing w:line="295" w:lineRule="auto"/>
        <w:ind w:left="2835" w:hanging="1365"/>
        <w:rPr>
          <w:rFonts w:ascii="宋体" w:hAnsi="宋体" w:cs="Arial"/>
          <w:sz w:val="24"/>
        </w:rPr>
      </w:pPr>
      <w:r>
        <w:rPr>
          <w:rFonts w:ascii="宋体" w:hAnsi="宋体" w:cs="Arial"/>
          <w:sz w:val="24"/>
        </w:rPr>
        <w:t>深圳证券交易所认为的应当属于</w:t>
      </w:r>
      <w:r>
        <w:rPr>
          <w:rFonts w:hint="eastAsia" w:ascii="宋体" w:hAnsi="宋体" w:cs="Arial"/>
          <w:sz w:val="24"/>
        </w:rPr>
        <w:t>重大</w:t>
      </w:r>
      <w:r>
        <w:rPr>
          <w:rFonts w:ascii="宋体" w:hAnsi="宋体" w:cs="Arial"/>
          <w:sz w:val="24"/>
        </w:rPr>
        <w:t>交易的其他事项。</w:t>
      </w:r>
    </w:p>
    <w:p w14:paraId="1F5678CC">
      <w:pPr>
        <w:spacing w:line="295" w:lineRule="auto"/>
        <w:rPr>
          <w:rFonts w:ascii="宋体" w:hAnsi="宋体" w:cs="Arial"/>
          <w:sz w:val="24"/>
        </w:rPr>
      </w:pPr>
    </w:p>
    <w:p w14:paraId="76E274C4">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除本制度第三十九条、第四十条的规定外，</w:t>
      </w:r>
      <w:r>
        <w:rPr>
          <w:rFonts w:ascii="宋体" w:hAnsi="宋体" w:cs="Arial"/>
          <w:sz w:val="24"/>
        </w:rPr>
        <w:t>公司发生的</w:t>
      </w:r>
      <w:r>
        <w:rPr>
          <w:rFonts w:hint="eastAsia" w:ascii="宋体" w:hAnsi="宋体" w:cs="Arial"/>
          <w:sz w:val="24"/>
        </w:rPr>
        <w:t>重大</w:t>
      </w:r>
      <w:r>
        <w:rPr>
          <w:rFonts w:ascii="宋体" w:hAnsi="宋体" w:cs="Arial"/>
          <w:sz w:val="24"/>
        </w:rPr>
        <w:t>交易达到下列标准之一的, 应当及时披露:</w:t>
      </w:r>
    </w:p>
    <w:p w14:paraId="5D5E4956">
      <w:pPr>
        <w:numPr>
          <w:ilvl w:val="0"/>
          <w:numId w:val="13"/>
        </w:numPr>
        <w:tabs>
          <w:tab w:val="left" w:pos="2205"/>
        </w:tabs>
        <w:spacing w:line="295" w:lineRule="auto"/>
        <w:ind w:left="2233" w:leftChars="699" w:hanging="765" w:hangingChars="319"/>
        <w:rPr>
          <w:rFonts w:ascii="宋体" w:hAnsi="宋体" w:cs="Arial"/>
          <w:sz w:val="24"/>
        </w:rPr>
      </w:pPr>
      <w:r>
        <w:rPr>
          <w:rFonts w:hint="eastAsia" w:ascii="宋体" w:hAnsi="宋体" w:cs="Arial"/>
          <w:sz w:val="24"/>
        </w:rPr>
        <w:t>交易涉及的资产总额占公司最近一期经审计总资产的10%以上，该交易涉及的资产总额同时存在账面值和评估值的，以较高者为准</w:t>
      </w:r>
      <w:r>
        <w:rPr>
          <w:rFonts w:ascii="宋体" w:hAnsi="宋体" w:cs="Arial"/>
          <w:sz w:val="24"/>
        </w:rPr>
        <w:t>;</w:t>
      </w:r>
    </w:p>
    <w:p w14:paraId="3E5E9593">
      <w:pPr>
        <w:numPr>
          <w:ilvl w:val="0"/>
          <w:numId w:val="13"/>
        </w:numPr>
        <w:tabs>
          <w:tab w:val="left" w:pos="2205"/>
        </w:tabs>
        <w:spacing w:line="295" w:lineRule="auto"/>
        <w:ind w:left="2233" w:leftChars="699" w:hanging="765" w:hangingChars="319"/>
        <w:rPr>
          <w:rFonts w:ascii="宋体" w:hAnsi="宋体" w:cs="Arial"/>
          <w:sz w:val="24"/>
        </w:rPr>
      </w:pPr>
      <w:r>
        <w:rPr>
          <w:rFonts w:hint="eastAsia" w:ascii="宋体" w:hAnsi="宋体" w:cs="Arial"/>
          <w:sz w:val="24"/>
        </w:rPr>
        <w:t>交易标的（如股权）涉及的资产净额占公司最近一期经审计净资产的10%以上，且绝对金额超过1000万元，该交易涉及的资产净额同时存在账面值和评估值的，以较高者为准</w:t>
      </w:r>
      <w:r>
        <w:rPr>
          <w:rFonts w:ascii="宋体" w:hAnsi="宋体" w:cs="Arial"/>
          <w:sz w:val="24"/>
        </w:rPr>
        <w:t>;</w:t>
      </w:r>
    </w:p>
    <w:p w14:paraId="29BC83DD">
      <w:pPr>
        <w:numPr>
          <w:ilvl w:val="0"/>
          <w:numId w:val="13"/>
        </w:numPr>
        <w:tabs>
          <w:tab w:val="left" w:pos="2205"/>
        </w:tabs>
        <w:spacing w:line="295" w:lineRule="auto"/>
        <w:ind w:left="2233" w:leftChars="699" w:hanging="765" w:hangingChars="319"/>
        <w:rPr>
          <w:rFonts w:ascii="宋体" w:hAnsi="宋体" w:cs="Arial"/>
          <w:sz w:val="24"/>
        </w:rPr>
      </w:pPr>
      <w:r>
        <w:rPr>
          <w:rFonts w:hint="eastAsia" w:ascii="宋体" w:hAnsi="宋体" w:cs="Arial"/>
          <w:sz w:val="24"/>
        </w:rPr>
        <w:t>交易标的（如股权）在最近一个会计年度相关的营业收入占公司最近一个会计年度经审计营业收入的10%以上，且绝对金额超过1000万元</w:t>
      </w:r>
      <w:r>
        <w:rPr>
          <w:rFonts w:ascii="宋体" w:hAnsi="宋体" w:cs="Arial"/>
          <w:sz w:val="24"/>
        </w:rPr>
        <w:t>;</w:t>
      </w:r>
    </w:p>
    <w:p w14:paraId="330A467D">
      <w:pPr>
        <w:numPr>
          <w:ilvl w:val="0"/>
          <w:numId w:val="13"/>
        </w:numPr>
        <w:tabs>
          <w:tab w:val="left" w:pos="2205"/>
        </w:tabs>
        <w:spacing w:line="295" w:lineRule="auto"/>
        <w:ind w:left="2233" w:leftChars="699" w:hanging="765" w:hangingChars="319"/>
        <w:rPr>
          <w:rFonts w:ascii="宋体" w:hAnsi="宋体" w:cs="Arial"/>
          <w:sz w:val="24"/>
        </w:rPr>
      </w:pPr>
      <w:r>
        <w:rPr>
          <w:rFonts w:hint="eastAsia" w:ascii="宋体" w:hAnsi="宋体" w:cs="Arial"/>
          <w:sz w:val="24"/>
        </w:rPr>
        <w:t>交易标的（如股权）在最近一个会计年度相关的净利润占公司最近一个会计年度经审计净利润的10%以上，且绝对金额超过100万元</w:t>
      </w:r>
      <w:r>
        <w:rPr>
          <w:rFonts w:ascii="宋体" w:hAnsi="宋体" w:cs="Arial"/>
          <w:sz w:val="24"/>
        </w:rPr>
        <w:t>;</w:t>
      </w:r>
    </w:p>
    <w:p w14:paraId="15BAA7A5">
      <w:pPr>
        <w:numPr>
          <w:ilvl w:val="0"/>
          <w:numId w:val="13"/>
        </w:numPr>
        <w:tabs>
          <w:tab w:val="left" w:pos="2205"/>
        </w:tabs>
        <w:spacing w:line="295" w:lineRule="auto"/>
        <w:ind w:left="2233" w:leftChars="699" w:hanging="765" w:hangingChars="319"/>
        <w:rPr>
          <w:rFonts w:ascii="宋体" w:hAnsi="宋体" w:cs="Arial"/>
          <w:sz w:val="24"/>
        </w:rPr>
      </w:pPr>
      <w:r>
        <w:rPr>
          <w:rFonts w:hint="eastAsia" w:ascii="宋体" w:hAnsi="宋体" w:cs="Arial"/>
          <w:sz w:val="24"/>
        </w:rPr>
        <w:t>交易的成交金额（含承担债务和费用）占公司最近一期经审计净资产的10%以上，且绝对金额超过1000万元；</w:t>
      </w:r>
    </w:p>
    <w:p w14:paraId="4BFEB8B7">
      <w:pPr>
        <w:numPr>
          <w:ilvl w:val="0"/>
          <w:numId w:val="13"/>
        </w:numPr>
        <w:tabs>
          <w:tab w:val="left" w:pos="2205"/>
        </w:tabs>
        <w:spacing w:line="295" w:lineRule="auto"/>
        <w:ind w:left="2233" w:leftChars="699" w:hanging="765" w:hangingChars="319"/>
        <w:rPr>
          <w:rFonts w:ascii="宋体" w:hAnsi="宋体" w:cs="Arial"/>
          <w:sz w:val="24"/>
        </w:rPr>
      </w:pPr>
      <w:r>
        <w:rPr>
          <w:rFonts w:hint="eastAsia" w:ascii="宋体" w:hAnsi="宋体" w:cs="Arial"/>
          <w:sz w:val="24"/>
        </w:rPr>
        <w:t>交易产生的利润占公司最近一个会计年度经审计净利润的10%以上，且绝对金额超过100万元</w:t>
      </w:r>
      <w:r>
        <w:rPr>
          <w:rFonts w:ascii="宋体" w:hAnsi="宋体" w:cs="Arial"/>
          <w:sz w:val="24"/>
        </w:rPr>
        <w:t>。</w:t>
      </w:r>
    </w:p>
    <w:p w14:paraId="7858F8CE">
      <w:pPr>
        <w:tabs>
          <w:tab w:val="left" w:pos="2205"/>
        </w:tabs>
        <w:spacing w:line="295" w:lineRule="auto"/>
        <w:ind w:left="2234"/>
        <w:rPr>
          <w:rFonts w:ascii="宋体" w:hAnsi="宋体" w:cs="Arial"/>
          <w:sz w:val="24"/>
        </w:rPr>
      </w:pPr>
    </w:p>
    <w:p w14:paraId="4C8AE222">
      <w:pPr>
        <w:tabs>
          <w:tab w:val="left" w:pos="2205"/>
        </w:tabs>
        <w:spacing w:line="295" w:lineRule="auto"/>
        <w:ind w:left="1469"/>
        <w:rPr>
          <w:rFonts w:ascii="宋体" w:hAnsi="宋体" w:cs="Arial"/>
          <w:sz w:val="24"/>
        </w:rPr>
      </w:pPr>
      <w:r>
        <w:rPr>
          <w:rFonts w:hint="eastAsia" w:ascii="宋体" w:hAnsi="宋体" w:cs="Arial"/>
          <w:sz w:val="24"/>
        </w:rPr>
        <w:t>公司拟发生的交易(提供担保、提供财务资助除外)达到下列标准之一的, 应当提交股东会审议：</w:t>
      </w:r>
    </w:p>
    <w:p w14:paraId="5A2B717C">
      <w:pPr>
        <w:tabs>
          <w:tab w:val="left" w:pos="2205"/>
        </w:tabs>
        <w:spacing w:line="295" w:lineRule="auto"/>
        <w:ind w:left="1469"/>
        <w:rPr>
          <w:rFonts w:ascii="宋体" w:hAnsi="宋体" w:cs="Arial"/>
          <w:sz w:val="24"/>
        </w:rPr>
      </w:pPr>
      <w:r>
        <w:rPr>
          <w:rFonts w:hint="eastAsia" w:ascii="宋体" w:hAnsi="宋体" w:cs="Arial"/>
          <w:sz w:val="24"/>
        </w:rPr>
        <w:t>(一)</w:t>
      </w:r>
      <w:r>
        <w:rPr>
          <w:rFonts w:hint="eastAsia" w:ascii="宋体" w:hAnsi="宋体" w:cs="Arial"/>
          <w:sz w:val="24"/>
        </w:rPr>
        <w:tab/>
      </w:r>
      <w:r>
        <w:rPr>
          <w:rFonts w:hint="eastAsia" w:ascii="宋体" w:hAnsi="宋体" w:cs="Arial"/>
          <w:sz w:val="24"/>
        </w:rPr>
        <w:t>交易涉及的资产总额(同时存在账面值和评估值的, 以高者为准)占公司最近一期经审计总资产的50%以上;</w:t>
      </w:r>
    </w:p>
    <w:p w14:paraId="3638799A">
      <w:pPr>
        <w:tabs>
          <w:tab w:val="left" w:pos="2205"/>
        </w:tabs>
        <w:spacing w:line="295" w:lineRule="auto"/>
        <w:ind w:left="1469"/>
        <w:rPr>
          <w:rFonts w:ascii="宋体" w:hAnsi="宋体" w:cs="Arial"/>
          <w:sz w:val="24"/>
        </w:rPr>
      </w:pPr>
      <w:r>
        <w:rPr>
          <w:rFonts w:hint="eastAsia" w:ascii="宋体" w:hAnsi="宋体" w:cs="Arial"/>
          <w:sz w:val="24"/>
        </w:rPr>
        <w:t>(二)</w:t>
      </w:r>
      <w:r>
        <w:rPr>
          <w:rFonts w:hint="eastAsia" w:ascii="宋体" w:hAnsi="宋体" w:cs="Arial"/>
          <w:sz w:val="24"/>
        </w:rPr>
        <w:tab/>
      </w:r>
      <w:r>
        <w:rPr>
          <w:rFonts w:hint="eastAsia" w:ascii="宋体" w:hAnsi="宋体" w:cs="Arial"/>
          <w:sz w:val="24"/>
        </w:rPr>
        <w:t>交易标的(如股权)涉及的资产净额(同时存在账面值和评估值的, 以高者为准)占公司最近一期经审计净资产的50%以上, 且绝对金额超过五千万元;</w:t>
      </w:r>
    </w:p>
    <w:p w14:paraId="7EB3D9CB">
      <w:pPr>
        <w:tabs>
          <w:tab w:val="left" w:pos="2205"/>
        </w:tabs>
        <w:spacing w:line="295" w:lineRule="auto"/>
        <w:ind w:left="1469"/>
        <w:rPr>
          <w:rFonts w:ascii="宋体" w:hAnsi="宋体" w:cs="Arial"/>
          <w:sz w:val="24"/>
        </w:rPr>
      </w:pPr>
      <w:r>
        <w:rPr>
          <w:rFonts w:hint="eastAsia" w:ascii="宋体" w:hAnsi="宋体" w:cs="Arial"/>
          <w:sz w:val="24"/>
        </w:rPr>
        <w:t>(三)</w:t>
      </w:r>
      <w:r>
        <w:rPr>
          <w:rFonts w:hint="eastAsia" w:ascii="宋体" w:hAnsi="宋体" w:cs="Arial"/>
          <w:sz w:val="24"/>
        </w:rPr>
        <w:tab/>
      </w:r>
      <w:r>
        <w:rPr>
          <w:rFonts w:hint="eastAsia" w:ascii="宋体" w:hAnsi="宋体" w:cs="Arial"/>
          <w:sz w:val="24"/>
        </w:rPr>
        <w:t>交易标的(如股权)在最近一个会计年度相关的营业收入占公司最近一个会计年度经审计营业收入的50%以上, 且绝对金额超过五千万元;</w:t>
      </w:r>
    </w:p>
    <w:p w14:paraId="78ED63AB">
      <w:pPr>
        <w:tabs>
          <w:tab w:val="left" w:pos="2205"/>
        </w:tabs>
        <w:spacing w:line="295" w:lineRule="auto"/>
        <w:ind w:left="1469"/>
        <w:rPr>
          <w:rFonts w:ascii="宋体" w:hAnsi="宋体" w:cs="Arial"/>
          <w:sz w:val="24"/>
        </w:rPr>
      </w:pPr>
      <w:r>
        <w:rPr>
          <w:rFonts w:hint="eastAsia" w:ascii="宋体" w:hAnsi="宋体" w:cs="Arial"/>
          <w:sz w:val="24"/>
        </w:rPr>
        <w:t>(四)</w:t>
      </w:r>
      <w:r>
        <w:rPr>
          <w:rFonts w:hint="eastAsia" w:ascii="宋体" w:hAnsi="宋体" w:cs="Arial"/>
          <w:sz w:val="24"/>
        </w:rPr>
        <w:tab/>
      </w:r>
      <w:r>
        <w:rPr>
          <w:rFonts w:hint="eastAsia" w:ascii="宋体" w:hAnsi="宋体" w:cs="Arial"/>
          <w:sz w:val="24"/>
        </w:rPr>
        <w:t>交易标的(如股权)在最近一个会计年度相关的净利润占公司最近一个会计年度经审计净利润的50%以上, 且绝对金额超过五百万元;</w:t>
      </w:r>
    </w:p>
    <w:p w14:paraId="4EAB05DF">
      <w:pPr>
        <w:tabs>
          <w:tab w:val="left" w:pos="2205"/>
        </w:tabs>
        <w:spacing w:line="295" w:lineRule="auto"/>
        <w:ind w:left="1469"/>
        <w:rPr>
          <w:rFonts w:ascii="宋体" w:hAnsi="宋体" w:cs="Arial"/>
          <w:sz w:val="24"/>
        </w:rPr>
      </w:pPr>
      <w:r>
        <w:rPr>
          <w:rFonts w:hint="eastAsia" w:ascii="宋体" w:hAnsi="宋体" w:cs="Arial"/>
          <w:sz w:val="24"/>
        </w:rPr>
        <w:t>(五)</w:t>
      </w:r>
      <w:r>
        <w:rPr>
          <w:rFonts w:hint="eastAsia" w:ascii="宋体" w:hAnsi="宋体" w:cs="Arial"/>
          <w:sz w:val="24"/>
        </w:rPr>
        <w:tab/>
      </w:r>
      <w:r>
        <w:rPr>
          <w:rFonts w:hint="eastAsia" w:ascii="宋体" w:hAnsi="宋体" w:cs="Arial"/>
          <w:sz w:val="24"/>
        </w:rPr>
        <w:t>交易的成交金额(包括承担的债务和费用)占公司最近一期经审计净资产的50%以上, 且绝对金额超过五千万元;</w:t>
      </w:r>
    </w:p>
    <w:p w14:paraId="34570845">
      <w:pPr>
        <w:tabs>
          <w:tab w:val="left" w:pos="2205"/>
        </w:tabs>
        <w:spacing w:line="295" w:lineRule="auto"/>
        <w:ind w:left="1469"/>
        <w:rPr>
          <w:rFonts w:ascii="宋体" w:hAnsi="宋体" w:cs="Arial"/>
          <w:sz w:val="24"/>
        </w:rPr>
      </w:pPr>
      <w:r>
        <w:rPr>
          <w:rFonts w:hint="eastAsia" w:ascii="宋体" w:hAnsi="宋体" w:cs="Arial"/>
          <w:sz w:val="24"/>
        </w:rPr>
        <w:t>(六)</w:t>
      </w:r>
      <w:r>
        <w:rPr>
          <w:rFonts w:hint="eastAsia" w:ascii="宋体" w:hAnsi="宋体" w:cs="Arial"/>
          <w:sz w:val="24"/>
        </w:rPr>
        <w:tab/>
      </w:r>
      <w:r>
        <w:rPr>
          <w:rFonts w:hint="eastAsia" w:ascii="宋体" w:hAnsi="宋体" w:cs="Arial"/>
          <w:sz w:val="24"/>
        </w:rPr>
        <w:t>交易产生的利润占公司最近一个会计年度经审计净利润的50%以上, 且绝对金额超过五百万元。</w:t>
      </w:r>
    </w:p>
    <w:p w14:paraId="1232CF3D">
      <w:pPr>
        <w:tabs>
          <w:tab w:val="left" w:pos="2520"/>
        </w:tabs>
        <w:spacing w:line="295" w:lineRule="auto"/>
        <w:rPr>
          <w:rFonts w:ascii="宋体" w:hAnsi="宋体" w:cs="Arial"/>
          <w:sz w:val="24"/>
        </w:rPr>
      </w:pPr>
    </w:p>
    <w:p w14:paraId="20E0BCEC">
      <w:pPr>
        <w:spacing w:line="295" w:lineRule="auto"/>
        <w:ind w:firstLine="1470"/>
        <w:rPr>
          <w:rFonts w:ascii="宋体" w:hAnsi="宋体" w:cs="Arial"/>
          <w:sz w:val="24"/>
        </w:rPr>
      </w:pPr>
      <w:r>
        <w:rPr>
          <w:rFonts w:ascii="宋体" w:hAnsi="宋体" w:cs="Arial"/>
          <w:sz w:val="24"/>
        </w:rPr>
        <w:t>上述指标涉及的数据如为负值,取其绝对值计算。</w:t>
      </w:r>
    </w:p>
    <w:p w14:paraId="0A6BAEF5">
      <w:pPr>
        <w:spacing w:line="295" w:lineRule="auto"/>
        <w:rPr>
          <w:rFonts w:ascii="宋体" w:hAnsi="宋体" w:cs="Arial"/>
          <w:sz w:val="24"/>
        </w:rPr>
      </w:pPr>
    </w:p>
    <w:p w14:paraId="789847BD">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公司购买或者出售股权的，应当按照公司所持权益变动比例计算相关财务指标适用本制度第三十七条的规定。</w:t>
      </w:r>
    </w:p>
    <w:p w14:paraId="0D70FBDE">
      <w:pPr>
        <w:tabs>
          <w:tab w:val="left" w:pos="1470"/>
        </w:tabs>
        <w:spacing w:line="295" w:lineRule="auto"/>
        <w:ind w:left="1470"/>
        <w:rPr>
          <w:rFonts w:ascii="宋体" w:hAnsi="宋体" w:cs="Arial"/>
          <w:sz w:val="24"/>
        </w:rPr>
      </w:pPr>
    </w:p>
    <w:p w14:paraId="73AC48F1">
      <w:pPr>
        <w:tabs>
          <w:tab w:val="left" w:pos="1470"/>
        </w:tabs>
        <w:spacing w:line="295" w:lineRule="auto"/>
        <w:ind w:left="1470"/>
        <w:rPr>
          <w:rFonts w:ascii="宋体" w:hAnsi="宋体" w:cs="Arial"/>
          <w:sz w:val="24"/>
        </w:rPr>
      </w:pPr>
      <w:r>
        <w:rPr>
          <w:rFonts w:hint="eastAsia" w:ascii="宋体" w:hAnsi="宋体" w:cs="Arial"/>
          <w:sz w:val="24"/>
        </w:rPr>
        <w:t>重大交易导致公司合并报表范围发生变更的，应当以该股权对应标的公司的相关财务指标适用本制度第三十七条的规定。</w:t>
      </w:r>
    </w:p>
    <w:p w14:paraId="4A805872">
      <w:pPr>
        <w:tabs>
          <w:tab w:val="left" w:pos="1470"/>
        </w:tabs>
        <w:spacing w:line="295" w:lineRule="auto"/>
        <w:ind w:left="1470"/>
        <w:rPr>
          <w:rFonts w:ascii="宋体" w:hAnsi="宋体" w:cs="Arial"/>
          <w:sz w:val="24"/>
        </w:rPr>
      </w:pPr>
    </w:p>
    <w:p w14:paraId="45099B8D">
      <w:pPr>
        <w:tabs>
          <w:tab w:val="left" w:pos="1470"/>
        </w:tabs>
        <w:spacing w:line="295" w:lineRule="auto"/>
        <w:ind w:left="1470"/>
        <w:rPr>
          <w:rFonts w:ascii="宋体" w:hAnsi="宋体" w:cs="Arial"/>
          <w:sz w:val="24"/>
        </w:rPr>
      </w:pPr>
      <w:r>
        <w:rPr>
          <w:rFonts w:hint="eastAsia" w:ascii="宋体" w:hAnsi="宋体" w:cs="Arial"/>
          <w:sz w:val="24"/>
        </w:rPr>
        <w:t>因委托或者受托管理资产和业务等，导致公司合并报表范围发生变更的，参照适用前款规定。</w:t>
      </w:r>
    </w:p>
    <w:p w14:paraId="71981734">
      <w:pPr>
        <w:tabs>
          <w:tab w:val="left" w:pos="1470"/>
        </w:tabs>
        <w:spacing w:line="295" w:lineRule="auto"/>
        <w:rPr>
          <w:rFonts w:ascii="宋体" w:hAnsi="宋体" w:cs="Arial"/>
          <w:sz w:val="24"/>
        </w:rPr>
      </w:pPr>
    </w:p>
    <w:p w14:paraId="350D4D78">
      <w:pPr>
        <w:tabs>
          <w:tab w:val="left" w:pos="1470"/>
        </w:tabs>
        <w:spacing w:line="295" w:lineRule="auto"/>
        <w:ind w:left="1470"/>
        <w:rPr>
          <w:rFonts w:ascii="宋体" w:hAnsi="宋体" w:cs="Arial"/>
          <w:sz w:val="24"/>
        </w:rPr>
      </w:pPr>
      <w:r>
        <w:rPr>
          <w:rFonts w:hint="eastAsia" w:ascii="宋体" w:hAnsi="宋体" w:cs="Arial"/>
          <w:sz w:val="24"/>
        </w:rPr>
        <w:t>公司发生重大交易，相关安排涉及未来支付或者收取或有对价的，应当以预计的最高金额作为成交金额，适用本制度第三十七条的规定。</w:t>
      </w:r>
    </w:p>
    <w:p w14:paraId="17727558">
      <w:pPr>
        <w:tabs>
          <w:tab w:val="left" w:pos="1470"/>
        </w:tabs>
        <w:spacing w:line="295" w:lineRule="auto"/>
        <w:ind w:left="1470"/>
        <w:rPr>
          <w:rFonts w:ascii="宋体" w:hAnsi="宋体" w:cs="Arial"/>
          <w:sz w:val="24"/>
        </w:rPr>
      </w:pPr>
    </w:p>
    <w:p w14:paraId="36B03CC4">
      <w:pPr>
        <w:tabs>
          <w:tab w:val="left" w:pos="1470"/>
        </w:tabs>
        <w:spacing w:line="295" w:lineRule="auto"/>
        <w:ind w:left="1470"/>
        <w:rPr>
          <w:rFonts w:ascii="宋体" w:hAnsi="宋体" w:cs="Arial"/>
          <w:sz w:val="24"/>
        </w:rPr>
      </w:pPr>
      <w:r>
        <w:rPr>
          <w:rFonts w:hint="eastAsia" w:ascii="宋体" w:hAnsi="宋体" w:cs="Arial"/>
          <w:sz w:val="24"/>
        </w:rPr>
        <w:t>公司分期实施重大交易的，应当以协议约定的全部金额为准，适用本制度第三十七条的规定。</w:t>
      </w:r>
    </w:p>
    <w:p w14:paraId="5B93260B">
      <w:pPr>
        <w:tabs>
          <w:tab w:val="left" w:pos="1470"/>
        </w:tabs>
        <w:spacing w:line="295" w:lineRule="auto"/>
        <w:ind w:left="1470"/>
        <w:rPr>
          <w:rFonts w:ascii="宋体" w:hAnsi="宋体" w:cs="Arial"/>
          <w:sz w:val="24"/>
        </w:rPr>
      </w:pPr>
    </w:p>
    <w:p w14:paraId="6BD279ED">
      <w:pPr>
        <w:tabs>
          <w:tab w:val="left" w:pos="1470"/>
        </w:tabs>
        <w:spacing w:line="295" w:lineRule="auto"/>
        <w:ind w:left="1470"/>
        <w:rPr>
          <w:rFonts w:ascii="宋体" w:hAnsi="宋体" w:cs="Arial"/>
          <w:sz w:val="24"/>
        </w:rPr>
      </w:pPr>
      <w:r>
        <w:rPr>
          <w:rFonts w:hint="eastAsia" w:ascii="宋体" w:hAnsi="宋体" w:cs="Arial"/>
          <w:sz w:val="24"/>
        </w:rPr>
        <w:t>公司与同一重大交易对方同时发生第三十六条第一款第（三）项至第（五）项以外方向相反的交易时，应当以其中单个方向的交易涉及的财务指标中较高者为准，适用本制度第三十七条的规定。</w:t>
      </w:r>
    </w:p>
    <w:p w14:paraId="64759EFF">
      <w:pPr>
        <w:tabs>
          <w:tab w:val="left" w:pos="1470"/>
        </w:tabs>
        <w:spacing w:line="295" w:lineRule="auto"/>
        <w:ind w:left="1470"/>
        <w:rPr>
          <w:rFonts w:ascii="宋体" w:hAnsi="宋体" w:cs="Arial"/>
          <w:sz w:val="24"/>
        </w:rPr>
      </w:pPr>
    </w:p>
    <w:p w14:paraId="67273E30">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公司提供财务资助，除应当经全体董事的过半数审议通过外，还应当经出席董事会会议的三分之二以上董事审议同意并作出决议，并及时对外披露。公司提供财务资助属于下列情形之一的，应当提交股东会审议：</w:t>
      </w:r>
    </w:p>
    <w:p w14:paraId="175D3378">
      <w:pPr>
        <w:tabs>
          <w:tab w:val="left" w:pos="1470"/>
        </w:tabs>
        <w:spacing w:line="295" w:lineRule="auto"/>
        <w:ind w:left="1470"/>
        <w:rPr>
          <w:rFonts w:ascii="宋体" w:hAnsi="宋体" w:cs="Arial"/>
          <w:sz w:val="24"/>
        </w:rPr>
      </w:pPr>
      <w:r>
        <w:rPr>
          <w:rFonts w:hint="eastAsia" w:ascii="宋体" w:hAnsi="宋体" w:cs="Arial"/>
          <w:sz w:val="24"/>
        </w:rPr>
        <w:t>(一)单笔财务资助金额超过公司最近一期经审计净资产的10%;</w:t>
      </w:r>
    </w:p>
    <w:p w14:paraId="20977309">
      <w:pPr>
        <w:tabs>
          <w:tab w:val="left" w:pos="1470"/>
        </w:tabs>
        <w:spacing w:line="295" w:lineRule="auto"/>
        <w:ind w:left="1470"/>
        <w:rPr>
          <w:rFonts w:ascii="宋体" w:hAnsi="宋体" w:cs="Arial"/>
          <w:sz w:val="24"/>
        </w:rPr>
      </w:pPr>
      <w:r>
        <w:rPr>
          <w:rFonts w:hint="eastAsia" w:ascii="宋体" w:hAnsi="宋体" w:cs="Arial"/>
          <w:sz w:val="24"/>
        </w:rPr>
        <w:t xml:space="preserve">(二)被资助对象最近一期财务报表数据显示资产负债率超过70%; </w:t>
      </w:r>
    </w:p>
    <w:p w14:paraId="37FF4110">
      <w:pPr>
        <w:tabs>
          <w:tab w:val="left" w:pos="1470"/>
        </w:tabs>
        <w:spacing w:line="295" w:lineRule="auto"/>
        <w:ind w:left="1470"/>
        <w:rPr>
          <w:rFonts w:ascii="宋体" w:hAnsi="宋体" w:cs="Arial"/>
          <w:sz w:val="24"/>
        </w:rPr>
      </w:pPr>
      <w:r>
        <w:rPr>
          <w:rFonts w:hint="eastAsia" w:ascii="宋体" w:hAnsi="宋体" w:cs="Arial"/>
          <w:sz w:val="24"/>
        </w:rPr>
        <w:t>(三)最近十二个月内财务资助金额累计计算超过公司最近一期经审计净资产的10%;</w:t>
      </w:r>
    </w:p>
    <w:p w14:paraId="6E023578">
      <w:pPr>
        <w:tabs>
          <w:tab w:val="left" w:pos="1470"/>
        </w:tabs>
        <w:spacing w:line="295" w:lineRule="auto"/>
        <w:ind w:left="1470"/>
        <w:rPr>
          <w:rFonts w:ascii="宋体" w:hAnsi="宋体" w:cs="Arial"/>
          <w:sz w:val="24"/>
        </w:rPr>
      </w:pPr>
      <w:r>
        <w:rPr>
          <w:rFonts w:hint="eastAsia" w:ascii="宋体" w:hAnsi="宋体" w:cs="Arial"/>
          <w:sz w:val="24"/>
        </w:rPr>
        <w:t>(四)深圳证券交易所或本章程规定的其他财务资助情形。</w:t>
      </w:r>
    </w:p>
    <w:p w14:paraId="5A6521F5">
      <w:pPr>
        <w:tabs>
          <w:tab w:val="left" w:pos="1470"/>
        </w:tabs>
        <w:spacing w:line="295" w:lineRule="auto"/>
        <w:ind w:left="1470"/>
        <w:rPr>
          <w:rFonts w:ascii="宋体" w:hAnsi="宋体" w:cs="Arial"/>
          <w:sz w:val="24"/>
        </w:rPr>
      </w:pPr>
    </w:p>
    <w:p w14:paraId="21358312">
      <w:pPr>
        <w:tabs>
          <w:tab w:val="left" w:pos="1470"/>
        </w:tabs>
        <w:spacing w:line="295" w:lineRule="auto"/>
        <w:ind w:left="1470"/>
        <w:rPr>
          <w:rFonts w:ascii="宋体" w:hAnsi="宋体" w:cs="Arial"/>
          <w:sz w:val="24"/>
        </w:rPr>
      </w:pPr>
      <w:r>
        <w:rPr>
          <w:rFonts w:hint="eastAsia" w:ascii="宋体" w:hAnsi="宋体" w:cs="Arial"/>
          <w:sz w:val="24"/>
        </w:rPr>
        <w:t>公司提供资助对象为公司合并报表范围内且持股比例超过50%的控股子公司，且该控股子公司其他股东中不包含公司的控股股东、实际控制人及其关联人的，可以免于适用前款规定。</w:t>
      </w:r>
    </w:p>
    <w:p w14:paraId="52CCE51A">
      <w:pPr>
        <w:tabs>
          <w:tab w:val="left" w:pos="1470"/>
        </w:tabs>
        <w:spacing w:line="295" w:lineRule="auto"/>
        <w:ind w:left="1470"/>
        <w:rPr>
          <w:rFonts w:ascii="宋体" w:hAnsi="宋体" w:cs="Arial"/>
          <w:sz w:val="24"/>
        </w:rPr>
      </w:pPr>
    </w:p>
    <w:p w14:paraId="0882E189">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公司提供担保，除应当经全体董事的过半数审议通过外，还应当经出席董事会会议的三分之二以上董事审议同意并作出决议，并及时对外披露。</w:t>
      </w:r>
    </w:p>
    <w:p w14:paraId="21CD8B40">
      <w:pPr>
        <w:tabs>
          <w:tab w:val="left" w:pos="1470"/>
        </w:tabs>
        <w:spacing w:line="295" w:lineRule="auto"/>
        <w:ind w:left="1470"/>
        <w:rPr>
          <w:rFonts w:ascii="宋体" w:hAnsi="宋体" w:cs="Arial"/>
          <w:sz w:val="24"/>
        </w:rPr>
      </w:pPr>
    </w:p>
    <w:p w14:paraId="3A3EC6E0">
      <w:pPr>
        <w:tabs>
          <w:tab w:val="left" w:pos="1470"/>
        </w:tabs>
        <w:spacing w:line="295" w:lineRule="auto"/>
        <w:ind w:left="1470"/>
        <w:rPr>
          <w:rFonts w:ascii="宋体" w:hAnsi="宋体" w:cs="Arial"/>
          <w:sz w:val="24"/>
        </w:rPr>
      </w:pPr>
      <w:r>
        <w:rPr>
          <w:rFonts w:hint="eastAsia" w:ascii="宋体" w:hAnsi="宋体" w:cs="Arial"/>
          <w:sz w:val="24"/>
        </w:rPr>
        <w:t>公司的对外担保事项出现下列情形之一时，应当及时披露：</w:t>
      </w:r>
    </w:p>
    <w:p w14:paraId="28DDCAB1">
      <w:pPr>
        <w:numPr>
          <w:ilvl w:val="0"/>
          <w:numId w:val="14"/>
        </w:numPr>
        <w:tabs>
          <w:tab w:val="left" w:pos="2205"/>
          <w:tab w:val="clear" w:pos="1575"/>
        </w:tabs>
        <w:spacing w:line="295" w:lineRule="auto"/>
        <w:ind w:left="2235" w:leftChars="700" w:hanging="765" w:hangingChars="319"/>
        <w:rPr>
          <w:rFonts w:ascii="宋体" w:hAnsi="宋体" w:cs="Arial"/>
          <w:sz w:val="24"/>
        </w:rPr>
      </w:pPr>
      <w:r>
        <w:rPr>
          <w:rFonts w:hint="eastAsia" w:ascii="宋体" w:hAnsi="宋体" w:cs="Arial"/>
          <w:sz w:val="24"/>
        </w:rPr>
        <w:t>被担保人于债务到期后十五个交易日内未履行还款义务的；</w:t>
      </w:r>
    </w:p>
    <w:p w14:paraId="55C5F624">
      <w:pPr>
        <w:numPr>
          <w:ilvl w:val="0"/>
          <w:numId w:val="14"/>
        </w:numPr>
        <w:tabs>
          <w:tab w:val="left" w:pos="2205"/>
          <w:tab w:val="clear" w:pos="1575"/>
        </w:tabs>
        <w:spacing w:line="295" w:lineRule="auto"/>
        <w:ind w:left="2235" w:leftChars="700" w:hanging="765" w:hangingChars="319"/>
        <w:rPr>
          <w:rFonts w:ascii="宋体" w:hAnsi="宋体" w:cs="Arial"/>
          <w:sz w:val="24"/>
        </w:rPr>
      </w:pPr>
      <w:r>
        <w:rPr>
          <w:rFonts w:hint="eastAsia" w:ascii="宋体" w:hAnsi="宋体" w:cs="Arial"/>
          <w:sz w:val="24"/>
        </w:rPr>
        <w:t>被担保人出现破产、清算及其他严重影响还款能力情形的。</w:t>
      </w:r>
    </w:p>
    <w:p w14:paraId="64746227">
      <w:pPr>
        <w:spacing w:line="295" w:lineRule="auto"/>
        <w:rPr>
          <w:rFonts w:ascii="宋体" w:hAnsi="宋体" w:cs="Arial"/>
          <w:sz w:val="24"/>
        </w:rPr>
      </w:pPr>
    </w:p>
    <w:p w14:paraId="1E621B25">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进行委托理财，因交易频次和时效要求等原因难以对每次投资交易履行披露义务的，可以对投资范围、额度及期限等进行合理预计，以额度计算占净资产的比例，适用本制度第三十七条的规定。相关额度的使用期限不应超过十二个月，期限内任一时点的交易金额（含前述投资的收益进行再投资的相关金额）不应超过投资额度。</w:t>
      </w:r>
    </w:p>
    <w:p w14:paraId="22E70869">
      <w:pPr>
        <w:tabs>
          <w:tab w:val="left" w:pos="1470"/>
        </w:tabs>
        <w:spacing w:line="295" w:lineRule="auto"/>
        <w:ind w:left="1470"/>
        <w:rPr>
          <w:rFonts w:ascii="宋体" w:hAnsi="宋体" w:cs="Arial"/>
          <w:sz w:val="24"/>
        </w:rPr>
      </w:pPr>
    </w:p>
    <w:p w14:paraId="34F19452">
      <w:pPr>
        <w:tabs>
          <w:tab w:val="left" w:pos="1470"/>
        </w:tabs>
        <w:spacing w:line="295" w:lineRule="auto"/>
        <w:ind w:left="1470"/>
        <w:rPr>
          <w:rFonts w:ascii="宋体" w:hAnsi="宋体" w:cs="Arial"/>
          <w:sz w:val="24"/>
        </w:rPr>
      </w:pPr>
      <w:r>
        <w:rPr>
          <w:rFonts w:hint="eastAsia" w:ascii="宋体" w:hAnsi="宋体" w:cs="Arial"/>
          <w:sz w:val="24"/>
        </w:rPr>
        <w:t>公司租入或者租出资产的，应当以约定的全部租赁费用或者租赁收入适用本制度第三十七条的规定。</w:t>
      </w:r>
    </w:p>
    <w:p w14:paraId="625A51C5">
      <w:pPr>
        <w:tabs>
          <w:tab w:val="left" w:pos="1470"/>
        </w:tabs>
        <w:spacing w:line="295" w:lineRule="auto"/>
        <w:ind w:left="1470"/>
        <w:rPr>
          <w:rFonts w:ascii="宋体" w:hAnsi="宋体" w:cs="Arial"/>
          <w:sz w:val="24"/>
        </w:rPr>
      </w:pPr>
    </w:p>
    <w:p w14:paraId="07871B33">
      <w:pPr>
        <w:tabs>
          <w:tab w:val="left" w:pos="1470"/>
        </w:tabs>
        <w:spacing w:line="295" w:lineRule="auto"/>
        <w:ind w:left="1470"/>
        <w:rPr>
          <w:rFonts w:ascii="宋体" w:hAnsi="宋体" w:cs="Arial"/>
          <w:sz w:val="24"/>
        </w:rPr>
      </w:pPr>
      <w:r>
        <w:rPr>
          <w:rFonts w:hint="eastAsia" w:ascii="宋体" w:hAnsi="宋体" w:cs="Arial"/>
          <w:sz w:val="24"/>
        </w:rPr>
        <w:t>公司直接或者间接放弃对控股子公司的优先购买或者认缴出资等权利，导致合并报表范围发生变更的，应当以放弃金额与该主体的相关财务指标，适用本制度第三十七条的规定。公司放弃权利未导致公司合并报表范围发生变更，但相比于未放弃权利，所拥有该主体权益的比例下降的，应当以放弃金额与按权益变动比例计算的相关财务指标，适用本制度第三十七条的规定。公司部分放弃权利的，还应当以放弃金额、该主体的相关财务指标或者按权益变动比例计算的相关财务指标，以及实际受让或者出资金额，适用本制度第三十七条的规定。</w:t>
      </w:r>
    </w:p>
    <w:p w14:paraId="778CB85F">
      <w:pPr>
        <w:tabs>
          <w:tab w:val="left" w:pos="1470"/>
        </w:tabs>
        <w:spacing w:line="295" w:lineRule="auto"/>
        <w:ind w:left="1470"/>
        <w:rPr>
          <w:rFonts w:ascii="宋体" w:hAnsi="宋体" w:cs="Arial"/>
          <w:sz w:val="24"/>
        </w:rPr>
      </w:pPr>
    </w:p>
    <w:p w14:paraId="75691576">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公司发生除委托理财等深圳证券交易所对累计原则另有规定的事项外的其他重大交易时，应当对交易标的相关的同一类别交易，按照连续十二个月累计计算的原则，适用本制度第三十七条的规定。</w:t>
      </w:r>
    </w:p>
    <w:p w14:paraId="6D4A1AC5">
      <w:pPr>
        <w:tabs>
          <w:tab w:val="left" w:pos="1470"/>
        </w:tabs>
        <w:spacing w:line="295" w:lineRule="auto"/>
        <w:ind w:left="1470"/>
        <w:rPr>
          <w:rFonts w:ascii="宋体" w:hAnsi="宋体" w:cs="Arial"/>
          <w:sz w:val="24"/>
        </w:rPr>
      </w:pPr>
    </w:p>
    <w:p w14:paraId="0370CBAD">
      <w:pPr>
        <w:tabs>
          <w:tab w:val="left" w:pos="1470"/>
        </w:tabs>
        <w:spacing w:line="295" w:lineRule="auto"/>
        <w:ind w:left="1470"/>
        <w:rPr>
          <w:rFonts w:ascii="宋体" w:hAnsi="宋体" w:cs="Arial"/>
          <w:sz w:val="24"/>
        </w:rPr>
      </w:pPr>
      <w:r>
        <w:rPr>
          <w:rFonts w:hint="eastAsia" w:ascii="宋体" w:hAnsi="宋体" w:cs="Arial"/>
          <w:sz w:val="24"/>
        </w:rPr>
        <w:t>公司发生的重大交易按照本制度的规定适用连续十二个月累计计算原则时，达到本制度规定的披露标准的，可以仅将本次重大交易事项按照深圳证券交易所有关规定披露，并在公告中说明前期累计未达到披露标准的重大交易事项。</w:t>
      </w:r>
    </w:p>
    <w:p w14:paraId="37957DD3">
      <w:pPr>
        <w:tabs>
          <w:tab w:val="left" w:pos="1470"/>
        </w:tabs>
        <w:spacing w:line="295" w:lineRule="auto"/>
        <w:ind w:left="1470"/>
        <w:rPr>
          <w:rFonts w:ascii="宋体" w:hAnsi="宋体" w:cs="Arial"/>
          <w:sz w:val="24"/>
        </w:rPr>
      </w:pPr>
    </w:p>
    <w:p w14:paraId="2955151D">
      <w:pPr>
        <w:tabs>
          <w:tab w:val="left" w:pos="1470"/>
        </w:tabs>
        <w:spacing w:line="295" w:lineRule="auto"/>
        <w:ind w:left="1470"/>
        <w:rPr>
          <w:rFonts w:ascii="宋体" w:hAnsi="宋体" w:cs="Arial"/>
          <w:sz w:val="24"/>
        </w:rPr>
      </w:pPr>
      <w:r>
        <w:rPr>
          <w:rFonts w:hint="eastAsia" w:ascii="宋体" w:hAnsi="宋体" w:cs="Arial"/>
          <w:sz w:val="24"/>
        </w:rPr>
        <w:t>公司已按照本制度第三十七条规定履行相关义务的，不再纳入累计计算范围。</w:t>
      </w:r>
    </w:p>
    <w:p w14:paraId="0A2DF2C9">
      <w:pPr>
        <w:spacing w:line="295" w:lineRule="auto"/>
        <w:rPr>
          <w:rFonts w:ascii="宋体" w:hAnsi="宋体" w:cs="Arial"/>
          <w:sz w:val="24"/>
        </w:rPr>
      </w:pPr>
    </w:p>
    <w:p w14:paraId="7F0935CD">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日常交易，是指公司发生与日常经营相关的下列类型的事项：</w:t>
      </w:r>
    </w:p>
    <w:p w14:paraId="7EC9A00B">
      <w:pPr>
        <w:numPr>
          <w:ilvl w:val="0"/>
          <w:numId w:val="15"/>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购买原材料、燃料和动力；</w:t>
      </w:r>
    </w:p>
    <w:p w14:paraId="6D834D2B">
      <w:pPr>
        <w:numPr>
          <w:ilvl w:val="0"/>
          <w:numId w:val="15"/>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接受劳务；</w:t>
      </w:r>
    </w:p>
    <w:p w14:paraId="384415D9">
      <w:pPr>
        <w:numPr>
          <w:ilvl w:val="0"/>
          <w:numId w:val="15"/>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出售产品、商品；</w:t>
      </w:r>
    </w:p>
    <w:p w14:paraId="4A7ACF15">
      <w:pPr>
        <w:numPr>
          <w:ilvl w:val="0"/>
          <w:numId w:val="15"/>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提供劳务；</w:t>
      </w:r>
    </w:p>
    <w:p w14:paraId="7078A7F3">
      <w:pPr>
        <w:numPr>
          <w:ilvl w:val="0"/>
          <w:numId w:val="15"/>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工程承包；</w:t>
      </w:r>
    </w:p>
    <w:p w14:paraId="4DA8BD28">
      <w:pPr>
        <w:numPr>
          <w:ilvl w:val="0"/>
          <w:numId w:val="15"/>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与公司日常经营相关的其他交易。</w:t>
      </w:r>
    </w:p>
    <w:p w14:paraId="3F80EBC0">
      <w:pPr>
        <w:pStyle w:val="21"/>
        <w:ind w:firstLine="480"/>
        <w:rPr>
          <w:rFonts w:ascii="宋体" w:hAnsi="宋体" w:cs="Arial"/>
          <w:sz w:val="24"/>
        </w:rPr>
      </w:pPr>
    </w:p>
    <w:p w14:paraId="61480396">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公司签署日常交易相关合同，达到下列标准之一的，应当及时披露：</w:t>
      </w:r>
    </w:p>
    <w:p w14:paraId="40EB9319">
      <w:pPr>
        <w:numPr>
          <w:ilvl w:val="0"/>
          <w:numId w:val="16"/>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涉及本制度第四十三条第一款第（一）项、第（二）项事项的，合同金额占公司最近一期经审计总资产50%以上，且绝对金额超过5亿元；</w:t>
      </w:r>
    </w:p>
    <w:p w14:paraId="5C7D7558">
      <w:pPr>
        <w:numPr>
          <w:ilvl w:val="0"/>
          <w:numId w:val="16"/>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涉及本制度第四十三条第一款第（三）项至第（五）项事项的，合同金额占公司最近一个会计年度经审计主营业务收入50%以上，且绝对金额超过5亿元；</w:t>
      </w:r>
    </w:p>
    <w:p w14:paraId="36972DE2">
      <w:pPr>
        <w:numPr>
          <w:ilvl w:val="0"/>
          <w:numId w:val="16"/>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公司或者深圳证券交易所认为可能对公司财务状况、经营成果产生重大影响的其他合同。</w:t>
      </w:r>
    </w:p>
    <w:p w14:paraId="6EC67C7E">
      <w:pPr>
        <w:spacing w:line="295" w:lineRule="auto"/>
        <w:rPr>
          <w:rFonts w:ascii="宋体" w:hAnsi="宋体" w:cs="Arial"/>
          <w:sz w:val="24"/>
        </w:rPr>
      </w:pPr>
    </w:p>
    <w:p w14:paraId="2298C7B7">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关联交易是指</w:t>
      </w:r>
      <w:r>
        <w:rPr>
          <w:rFonts w:hint="eastAsia" w:ascii="宋体" w:hAnsi="宋体" w:cs="Arial"/>
          <w:sz w:val="24"/>
        </w:rPr>
        <w:t>公司或者其控股子公司与公司关联人之间发生的转移资源或者义务的事项</w:t>
      </w:r>
      <w:r>
        <w:rPr>
          <w:rFonts w:ascii="宋体" w:hAnsi="宋体" w:cs="Arial"/>
          <w:sz w:val="24"/>
        </w:rPr>
        <w:t>, 包括:</w:t>
      </w:r>
    </w:p>
    <w:p w14:paraId="2A922A77">
      <w:pPr>
        <w:numPr>
          <w:ilvl w:val="0"/>
          <w:numId w:val="17"/>
        </w:numPr>
        <w:tabs>
          <w:tab w:val="left" w:pos="2205"/>
        </w:tabs>
        <w:spacing w:line="295" w:lineRule="auto"/>
        <w:ind w:left="2235" w:leftChars="700" w:hanging="765" w:hangingChars="319"/>
        <w:rPr>
          <w:rFonts w:ascii="宋体" w:hAnsi="宋体" w:cs="Arial"/>
          <w:sz w:val="24"/>
        </w:rPr>
      </w:pPr>
      <w:r>
        <w:rPr>
          <w:rFonts w:ascii="宋体" w:hAnsi="宋体" w:cs="Arial"/>
          <w:sz w:val="24"/>
        </w:rPr>
        <w:t>本制度第</w:t>
      </w:r>
      <w:r>
        <w:rPr>
          <w:rFonts w:hint="eastAsia" w:ascii="宋体" w:hAnsi="宋体" w:cs="Arial"/>
          <w:sz w:val="24"/>
        </w:rPr>
        <w:t>三十六</w:t>
      </w:r>
      <w:r>
        <w:rPr>
          <w:rFonts w:ascii="宋体" w:hAnsi="宋体" w:cs="Arial"/>
          <w:sz w:val="24"/>
        </w:rPr>
        <w:t>条项下规定的交易事项;</w:t>
      </w:r>
    </w:p>
    <w:p w14:paraId="63B3F027">
      <w:pPr>
        <w:numPr>
          <w:ilvl w:val="0"/>
          <w:numId w:val="17"/>
        </w:numPr>
        <w:tabs>
          <w:tab w:val="left" w:pos="2205"/>
        </w:tabs>
        <w:spacing w:line="295" w:lineRule="auto"/>
        <w:ind w:left="2235" w:leftChars="700" w:hanging="765" w:hangingChars="319"/>
        <w:rPr>
          <w:rFonts w:ascii="宋体" w:hAnsi="宋体" w:cs="Arial"/>
          <w:sz w:val="24"/>
        </w:rPr>
      </w:pPr>
      <w:r>
        <w:rPr>
          <w:rFonts w:ascii="宋体" w:hAnsi="宋体" w:cs="Arial"/>
          <w:sz w:val="24"/>
        </w:rPr>
        <w:t>购买原材料、燃料、动力;</w:t>
      </w:r>
    </w:p>
    <w:p w14:paraId="3E2356F5">
      <w:pPr>
        <w:numPr>
          <w:ilvl w:val="0"/>
          <w:numId w:val="17"/>
        </w:numPr>
        <w:tabs>
          <w:tab w:val="left" w:pos="2205"/>
        </w:tabs>
        <w:spacing w:line="295" w:lineRule="auto"/>
        <w:ind w:left="2235" w:leftChars="700" w:hanging="765" w:hangingChars="319"/>
        <w:rPr>
          <w:rFonts w:ascii="宋体" w:hAnsi="宋体" w:cs="Arial"/>
          <w:sz w:val="24"/>
        </w:rPr>
      </w:pPr>
      <w:r>
        <w:rPr>
          <w:rFonts w:ascii="宋体" w:hAnsi="宋体" w:cs="Arial"/>
          <w:sz w:val="24"/>
        </w:rPr>
        <w:t>销售产品、商品;</w:t>
      </w:r>
    </w:p>
    <w:p w14:paraId="752AF984">
      <w:pPr>
        <w:numPr>
          <w:ilvl w:val="0"/>
          <w:numId w:val="17"/>
        </w:numPr>
        <w:tabs>
          <w:tab w:val="left" w:pos="2205"/>
        </w:tabs>
        <w:spacing w:line="295" w:lineRule="auto"/>
        <w:ind w:left="2235" w:leftChars="700" w:hanging="765" w:hangingChars="319"/>
        <w:rPr>
          <w:rFonts w:ascii="宋体" w:hAnsi="宋体" w:cs="Arial"/>
          <w:sz w:val="24"/>
        </w:rPr>
      </w:pPr>
      <w:r>
        <w:rPr>
          <w:rFonts w:ascii="宋体" w:hAnsi="宋体" w:cs="Arial"/>
          <w:sz w:val="24"/>
        </w:rPr>
        <w:t>提供或者接受劳务;</w:t>
      </w:r>
    </w:p>
    <w:p w14:paraId="57F44798">
      <w:pPr>
        <w:numPr>
          <w:ilvl w:val="0"/>
          <w:numId w:val="17"/>
        </w:numPr>
        <w:tabs>
          <w:tab w:val="left" w:pos="2205"/>
        </w:tabs>
        <w:spacing w:line="295" w:lineRule="auto"/>
        <w:ind w:left="2235" w:leftChars="700" w:hanging="765" w:hangingChars="319"/>
        <w:rPr>
          <w:rFonts w:ascii="宋体" w:hAnsi="宋体" w:cs="Arial"/>
          <w:sz w:val="24"/>
        </w:rPr>
      </w:pPr>
      <w:r>
        <w:rPr>
          <w:rFonts w:ascii="宋体" w:hAnsi="宋体" w:cs="Arial"/>
          <w:sz w:val="24"/>
        </w:rPr>
        <w:t>委托或者受托销售;</w:t>
      </w:r>
    </w:p>
    <w:p w14:paraId="4AD869B5">
      <w:pPr>
        <w:numPr>
          <w:ilvl w:val="0"/>
          <w:numId w:val="17"/>
        </w:numPr>
        <w:tabs>
          <w:tab w:val="left" w:pos="2205"/>
        </w:tabs>
        <w:spacing w:line="295" w:lineRule="auto"/>
        <w:ind w:left="2235" w:leftChars="700" w:hanging="765" w:hangingChars="319"/>
        <w:rPr>
          <w:rFonts w:ascii="宋体" w:hAnsi="宋体" w:cs="Arial"/>
          <w:sz w:val="24"/>
        </w:rPr>
      </w:pPr>
      <w:r>
        <w:rPr>
          <w:rFonts w:hint="eastAsia" w:ascii="宋体" w:hAnsi="宋体" w:cs="Arial"/>
          <w:sz w:val="24"/>
        </w:rPr>
        <w:t>存贷款业务;</w:t>
      </w:r>
    </w:p>
    <w:p w14:paraId="019F65CD">
      <w:pPr>
        <w:numPr>
          <w:ilvl w:val="0"/>
          <w:numId w:val="17"/>
        </w:numPr>
        <w:tabs>
          <w:tab w:val="left" w:pos="2205"/>
        </w:tabs>
        <w:spacing w:line="295" w:lineRule="auto"/>
        <w:ind w:left="2235" w:leftChars="700" w:hanging="765" w:hangingChars="319"/>
        <w:rPr>
          <w:rFonts w:ascii="宋体" w:hAnsi="宋体" w:cs="Arial"/>
          <w:sz w:val="24"/>
        </w:rPr>
      </w:pPr>
      <w:r>
        <w:rPr>
          <w:rFonts w:ascii="宋体" w:hAnsi="宋体" w:cs="Arial"/>
          <w:sz w:val="24"/>
        </w:rPr>
        <w:t>与关联人共同投资;</w:t>
      </w:r>
    </w:p>
    <w:p w14:paraId="040F6C7F">
      <w:pPr>
        <w:numPr>
          <w:ilvl w:val="0"/>
          <w:numId w:val="17"/>
        </w:numPr>
        <w:tabs>
          <w:tab w:val="left" w:pos="2205"/>
        </w:tabs>
        <w:spacing w:line="295" w:lineRule="auto"/>
        <w:ind w:left="2235" w:leftChars="700" w:hanging="765" w:hangingChars="319"/>
        <w:rPr>
          <w:rFonts w:ascii="宋体" w:hAnsi="宋体" w:cs="Arial"/>
          <w:sz w:val="24"/>
        </w:rPr>
      </w:pPr>
      <w:r>
        <w:rPr>
          <w:rFonts w:ascii="宋体" w:hAnsi="宋体" w:cs="Arial"/>
          <w:sz w:val="24"/>
        </w:rPr>
        <w:t>其他通过约定可能引致资源或者义务转移的事项。</w:t>
      </w:r>
    </w:p>
    <w:p w14:paraId="6EE5BF64">
      <w:pPr>
        <w:spacing w:line="295" w:lineRule="auto"/>
        <w:rPr>
          <w:rFonts w:ascii="宋体" w:hAnsi="宋体" w:cs="Arial"/>
          <w:sz w:val="24"/>
        </w:rPr>
      </w:pPr>
    </w:p>
    <w:p w14:paraId="1A487170">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公司与关联人发生的交易(提供担保、提供财务资助除外)达到下列标准之一的，应当及时披露</w:t>
      </w:r>
      <w:r>
        <w:rPr>
          <w:rFonts w:ascii="宋体" w:hAnsi="宋体" w:cs="Arial"/>
          <w:sz w:val="24"/>
        </w:rPr>
        <w:t>:</w:t>
      </w:r>
    </w:p>
    <w:p w14:paraId="0E7BA84E">
      <w:pPr>
        <w:numPr>
          <w:ilvl w:val="0"/>
          <w:numId w:val="18"/>
        </w:numPr>
        <w:tabs>
          <w:tab w:val="left" w:pos="2205"/>
          <w:tab w:val="clear" w:pos="1575"/>
        </w:tabs>
        <w:spacing w:line="295" w:lineRule="auto"/>
        <w:ind w:left="2233" w:leftChars="699" w:hanging="765" w:hangingChars="319"/>
        <w:rPr>
          <w:rFonts w:ascii="宋体" w:hAnsi="宋体" w:cs="Arial"/>
          <w:sz w:val="24"/>
        </w:rPr>
      </w:pPr>
      <w:r>
        <w:rPr>
          <w:rFonts w:hint="eastAsia" w:ascii="宋体" w:hAnsi="宋体" w:cs="Arial"/>
          <w:sz w:val="24"/>
        </w:rPr>
        <w:t>与关联自然人发生的成交金额超过30万元的交易</w:t>
      </w:r>
      <w:r>
        <w:rPr>
          <w:rFonts w:ascii="宋体" w:hAnsi="宋体" w:cs="Arial"/>
          <w:sz w:val="24"/>
        </w:rPr>
        <w:t>;</w:t>
      </w:r>
    </w:p>
    <w:p w14:paraId="43626FB2">
      <w:pPr>
        <w:numPr>
          <w:ilvl w:val="0"/>
          <w:numId w:val="18"/>
        </w:numPr>
        <w:tabs>
          <w:tab w:val="left" w:pos="2205"/>
          <w:tab w:val="clear" w:pos="1575"/>
        </w:tabs>
        <w:spacing w:line="295" w:lineRule="auto"/>
        <w:ind w:left="2233" w:leftChars="699" w:hanging="765" w:hangingChars="319"/>
        <w:rPr>
          <w:rFonts w:ascii="宋体" w:hAnsi="宋体" w:cs="Arial"/>
          <w:sz w:val="24"/>
        </w:rPr>
      </w:pPr>
      <w:r>
        <w:rPr>
          <w:rFonts w:hint="eastAsia" w:ascii="宋体" w:hAnsi="宋体" w:cs="Arial"/>
          <w:sz w:val="24"/>
        </w:rPr>
        <w:t>与关联法人（或者其他组织）发生的成交金额超过300万元，且占公司最近一期经审计净资产绝对值超过0.5%的交易</w:t>
      </w:r>
      <w:r>
        <w:rPr>
          <w:rFonts w:ascii="宋体" w:hAnsi="宋体" w:cs="Arial"/>
          <w:sz w:val="24"/>
        </w:rPr>
        <w:t>。</w:t>
      </w:r>
    </w:p>
    <w:p w14:paraId="69842F33">
      <w:pPr>
        <w:pStyle w:val="21"/>
        <w:ind w:firstLine="480"/>
        <w:rPr>
          <w:rFonts w:ascii="宋体" w:hAnsi="宋体" w:cs="Arial"/>
          <w:sz w:val="24"/>
        </w:rPr>
      </w:pPr>
    </w:p>
    <w:p w14:paraId="236534A7">
      <w:pPr>
        <w:numPr>
          <w:ilvl w:val="0"/>
          <w:numId w:val="1"/>
        </w:numPr>
        <w:tabs>
          <w:tab w:val="left" w:pos="1470"/>
          <w:tab w:val="clear" w:pos="0"/>
        </w:tabs>
        <w:spacing w:line="295" w:lineRule="auto"/>
        <w:ind w:left="1470" w:hanging="1470"/>
        <w:rPr>
          <w:rFonts w:ascii="宋体" w:hAnsi="宋体" w:cs="Arial"/>
          <w:sz w:val="24"/>
        </w:rPr>
      </w:pPr>
      <w:r>
        <w:rPr>
          <w:rFonts w:hint="eastAsia" w:ascii="宋体" w:hAnsi="宋体" w:cs="Arial"/>
          <w:sz w:val="24"/>
        </w:rPr>
        <w:t>公司在连续十二个月内发生的下列关联交易，应当按照累计计算的原则分别适用本规则第四十六条的规定：</w:t>
      </w:r>
    </w:p>
    <w:p w14:paraId="32786250">
      <w:pPr>
        <w:numPr>
          <w:ilvl w:val="0"/>
          <w:numId w:val="19"/>
        </w:numPr>
        <w:tabs>
          <w:tab w:val="left" w:pos="2205"/>
        </w:tabs>
        <w:spacing w:line="295" w:lineRule="auto"/>
        <w:ind w:left="2233" w:leftChars="699" w:hanging="765" w:hangingChars="319"/>
        <w:rPr>
          <w:rFonts w:ascii="宋体" w:hAnsi="宋体" w:cs="Arial"/>
          <w:sz w:val="24"/>
        </w:rPr>
      </w:pPr>
      <w:r>
        <w:rPr>
          <w:rFonts w:hint="eastAsia" w:ascii="宋体" w:hAnsi="宋体" w:cs="Arial"/>
          <w:sz w:val="24"/>
        </w:rPr>
        <w:t>与同一关联人进行的交易；</w:t>
      </w:r>
    </w:p>
    <w:p w14:paraId="1AD44D09">
      <w:pPr>
        <w:numPr>
          <w:ilvl w:val="0"/>
          <w:numId w:val="19"/>
        </w:numPr>
        <w:tabs>
          <w:tab w:val="left" w:pos="2205"/>
        </w:tabs>
        <w:spacing w:line="295" w:lineRule="auto"/>
        <w:ind w:left="2233" w:leftChars="699" w:hanging="765" w:hangingChars="319"/>
        <w:rPr>
          <w:rFonts w:ascii="宋体" w:hAnsi="宋体" w:cs="Arial"/>
          <w:sz w:val="24"/>
        </w:rPr>
      </w:pPr>
      <w:r>
        <w:rPr>
          <w:rFonts w:hint="eastAsia" w:ascii="宋体" w:hAnsi="宋体" w:cs="Arial"/>
          <w:sz w:val="24"/>
        </w:rPr>
        <w:t>与不同关联人进行的与同一交易标的的交易。</w:t>
      </w:r>
    </w:p>
    <w:p w14:paraId="2E2DDC52">
      <w:pPr>
        <w:pStyle w:val="21"/>
        <w:ind w:firstLine="480"/>
        <w:rPr>
          <w:rFonts w:ascii="宋体" w:hAnsi="宋体" w:cs="Arial"/>
          <w:sz w:val="24"/>
        </w:rPr>
      </w:pPr>
    </w:p>
    <w:p w14:paraId="3B5242E3">
      <w:pPr>
        <w:tabs>
          <w:tab w:val="left" w:pos="1470"/>
        </w:tabs>
        <w:spacing w:line="295" w:lineRule="auto"/>
        <w:ind w:left="1470"/>
        <w:rPr>
          <w:rFonts w:ascii="宋体" w:hAnsi="宋体" w:cs="Arial"/>
          <w:sz w:val="24"/>
        </w:rPr>
      </w:pPr>
      <w:r>
        <w:rPr>
          <w:rFonts w:hint="eastAsia" w:ascii="宋体" w:hAnsi="宋体" w:cs="Arial"/>
          <w:sz w:val="24"/>
        </w:rPr>
        <w:t>上述同一关联人包括与该关联人受同一主体控制或者相互存在股权控制关系的其他关联人。</w:t>
      </w:r>
    </w:p>
    <w:p w14:paraId="7923AF2B">
      <w:pPr>
        <w:pStyle w:val="2"/>
        <w:spacing w:line="300" w:lineRule="auto"/>
        <w:jc w:val="center"/>
        <w:rPr>
          <w:rFonts w:ascii="宋体" w:hAnsi="宋体" w:cs="Arial"/>
          <w:b/>
          <w:sz w:val="24"/>
          <w:szCs w:val="24"/>
        </w:rPr>
      </w:pPr>
      <w:r>
        <w:rPr>
          <w:rFonts w:ascii="宋体" w:hAnsi="宋体" w:cs="Arial"/>
          <w:b/>
          <w:sz w:val="24"/>
          <w:szCs w:val="24"/>
        </w:rPr>
        <w:t>第四章  信息披露的流程</w:t>
      </w:r>
    </w:p>
    <w:p w14:paraId="1F95F19F">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公司定期报告的草拟、审核、通报和发布程序:</w:t>
      </w:r>
    </w:p>
    <w:p w14:paraId="47C37E26">
      <w:pPr>
        <w:numPr>
          <w:ilvl w:val="0"/>
          <w:numId w:val="20"/>
        </w:numPr>
        <w:tabs>
          <w:tab w:val="left" w:pos="2205"/>
          <w:tab w:val="clear" w:pos="1575"/>
        </w:tabs>
        <w:spacing w:line="288" w:lineRule="auto"/>
        <w:ind w:left="2233" w:leftChars="699" w:hanging="765" w:hangingChars="319"/>
        <w:rPr>
          <w:rFonts w:ascii="宋体" w:hAnsi="宋体" w:cs="Arial"/>
          <w:sz w:val="24"/>
        </w:rPr>
      </w:pPr>
      <w:r>
        <w:rPr>
          <w:rFonts w:hint="eastAsia" w:ascii="宋体" w:hAnsi="宋体" w:cs="Arial"/>
          <w:sz w:val="24"/>
        </w:rPr>
        <w:t>总</w:t>
      </w:r>
      <w:r>
        <w:rPr>
          <w:rFonts w:ascii="宋体" w:hAnsi="宋体" w:cs="Arial"/>
          <w:sz w:val="24"/>
        </w:rPr>
        <w:t>经理、财务负责人、董事会秘书等高级管理人员应当及时编制定期报告草案, 并提交予董事会秘书;</w:t>
      </w:r>
    </w:p>
    <w:p w14:paraId="64873046">
      <w:pPr>
        <w:numPr>
          <w:ilvl w:val="0"/>
          <w:numId w:val="20"/>
        </w:numPr>
        <w:tabs>
          <w:tab w:val="left" w:pos="2205"/>
          <w:tab w:val="clear" w:pos="1575"/>
        </w:tabs>
        <w:spacing w:line="288" w:lineRule="auto"/>
        <w:ind w:left="2233" w:leftChars="699" w:hanging="765" w:hangingChars="319"/>
        <w:rPr>
          <w:rFonts w:ascii="宋体" w:hAnsi="宋体" w:cs="Arial"/>
          <w:sz w:val="24"/>
        </w:rPr>
      </w:pPr>
      <w:r>
        <w:rPr>
          <w:rFonts w:ascii="宋体" w:hAnsi="宋体" w:cs="Arial"/>
          <w:sz w:val="24"/>
        </w:rPr>
        <w:t>董事会秘书负责送达各董事审阅;</w:t>
      </w:r>
    </w:p>
    <w:p w14:paraId="6D5D33F0">
      <w:pPr>
        <w:numPr>
          <w:ilvl w:val="0"/>
          <w:numId w:val="20"/>
        </w:numPr>
        <w:tabs>
          <w:tab w:val="left" w:pos="2205"/>
          <w:tab w:val="clear" w:pos="1575"/>
        </w:tabs>
        <w:spacing w:line="288" w:lineRule="auto"/>
        <w:ind w:left="2233" w:leftChars="699" w:hanging="765" w:hangingChars="319"/>
        <w:rPr>
          <w:rFonts w:ascii="宋体" w:hAnsi="宋体" w:cs="Arial"/>
          <w:sz w:val="24"/>
        </w:rPr>
      </w:pPr>
      <w:r>
        <w:rPr>
          <w:rFonts w:ascii="宋体" w:hAnsi="宋体" w:cs="Arial"/>
          <w:sz w:val="24"/>
        </w:rPr>
        <w:t>董事长负责按公司章程和董事会议事规则的规定召集和主持董事会会议审议定期报告, 经审议通过后, 公司董事和高级管理人员应对定期报告签署书面确认意见;</w:t>
      </w:r>
    </w:p>
    <w:p w14:paraId="0678389C">
      <w:pPr>
        <w:numPr>
          <w:ilvl w:val="0"/>
          <w:numId w:val="20"/>
        </w:numPr>
        <w:tabs>
          <w:tab w:val="left" w:pos="2205"/>
          <w:tab w:val="clear" w:pos="1575"/>
        </w:tabs>
        <w:spacing w:line="288" w:lineRule="auto"/>
        <w:ind w:left="2233" w:leftChars="699" w:hanging="765" w:hangingChars="319"/>
        <w:rPr>
          <w:rFonts w:ascii="宋体" w:hAnsi="宋体" w:cs="Arial"/>
          <w:sz w:val="24"/>
        </w:rPr>
      </w:pPr>
      <w:r>
        <w:rPr>
          <w:rFonts w:hint="eastAsia" w:ascii="宋体" w:hAnsi="宋体" w:cs="Arial"/>
          <w:sz w:val="24"/>
        </w:rPr>
        <w:t>审计委员会审核定期报告中的财务信息;</w:t>
      </w:r>
    </w:p>
    <w:p w14:paraId="186C8183">
      <w:pPr>
        <w:numPr>
          <w:ilvl w:val="0"/>
          <w:numId w:val="20"/>
        </w:numPr>
        <w:tabs>
          <w:tab w:val="left" w:pos="2205"/>
          <w:tab w:val="clear" w:pos="1575"/>
        </w:tabs>
        <w:spacing w:line="288" w:lineRule="auto"/>
        <w:ind w:left="2233" w:leftChars="699" w:hanging="765" w:hangingChars="319"/>
        <w:rPr>
          <w:rFonts w:ascii="宋体" w:hAnsi="宋体" w:cs="Arial"/>
          <w:sz w:val="24"/>
        </w:rPr>
      </w:pPr>
      <w:r>
        <w:rPr>
          <w:rFonts w:ascii="宋体" w:hAnsi="宋体" w:cs="Arial"/>
          <w:sz w:val="24"/>
        </w:rPr>
        <w:t>董事会秘书负责组织定期报告的披露工作, 在定期报告披露前, 董事会秘书应当将定期报告文稿通报董事和高级管理人员。</w:t>
      </w:r>
    </w:p>
    <w:p w14:paraId="42DEF447">
      <w:pPr>
        <w:spacing w:line="288" w:lineRule="auto"/>
        <w:ind w:left="840"/>
        <w:rPr>
          <w:rFonts w:ascii="宋体" w:hAnsi="宋体" w:cs="Arial"/>
          <w:sz w:val="24"/>
        </w:rPr>
      </w:pPr>
    </w:p>
    <w:p w14:paraId="20D007D0">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 xml:space="preserve">公司重大信息的报告、草拟、审核、披露程序: </w:t>
      </w:r>
    </w:p>
    <w:p w14:paraId="7025968B">
      <w:pPr>
        <w:numPr>
          <w:ilvl w:val="0"/>
          <w:numId w:val="21"/>
        </w:numPr>
        <w:tabs>
          <w:tab w:val="left" w:pos="2205"/>
          <w:tab w:val="clear" w:pos="1575"/>
        </w:tabs>
        <w:spacing w:line="288" w:lineRule="auto"/>
        <w:ind w:left="2233" w:leftChars="699" w:hanging="765" w:hangingChars="319"/>
        <w:rPr>
          <w:rFonts w:ascii="宋体" w:hAnsi="宋体" w:cs="Arial"/>
          <w:sz w:val="24"/>
        </w:rPr>
      </w:pPr>
      <w:r>
        <w:rPr>
          <w:rFonts w:ascii="宋体" w:hAnsi="宋体" w:cs="Arial"/>
          <w:sz w:val="24"/>
        </w:rPr>
        <w:t>负有报告义务的有关人员, 应按本制度相关规定及时向董事长或董事会秘书报告相关信息;</w:t>
      </w:r>
    </w:p>
    <w:p w14:paraId="714DF416">
      <w:pPr>
        <w:numPr>
          <w:ilvl w:val="0"/>
          <w:numId w:val="21"/>
        </w:numPr>
        <w:tabs>
          <w:tab w:val="left" w:pos="2205"/>
          <w:tab w:val="clear" w:pos="1575"/>
        </w:tabs>
        <w:spacing w:line="288" w:lineRule="auto"/>
        <w:ind w:left="2233" w:leftChars="699" w:hanging="765" w:hangingChars="319"/>
        <w:rPr>
          <w:rFonts w:ascii="宋体" w:hAnsi="宋体" w:cs="Arial"/>
          <w:sz w:val="24"/>
        </w:rPr>
      </w:pPr>
      <w:r>
        <w:rPr>
          <w:rFonts w:ascii="宋体" w:hAnsi="宋体" w:cs="Arial"/>
          <w:sz w:val="24"/>
        </w:rPr>
        <w:t>董事会办公室负责草拟临时公告文稿;</w:t>
      </w:r>
    </w:p>
    <w:p w14:paraId="4BEE2F59">
      <w:pPr>
        <w:numPr>
          <w:ilvl w:val="0"/>
          <w:numId w:val="21"/>
        </w:numPr>
        <w:tabs>
          <w:tab w:val="left" w:pos="2205"/>
          <w:tab w:val="clear" w:pos="1575"/>
        </w:tabs>
        <w:spacing w:line="288" w:lineRule="auto"/>
        <w:ind w:left="2233" w:leftChars="699" w:hanging="765" w:hangingChars="319"/>
        <w:rPr>
          <w:rFonts w:ascii="宋体" w:hAnsi="宋体" w:cs="Arial"/>
          <w:sz w:val="24"/>
        </w:rPr>
      </w:pPr>
      <w:r>
        <w:rPr>
          <w:rFonts w:ascii="宋体" w:hAnsi="宋体" w:cs="Arial"/>
          <w:sz w:val="24"/>
        </w:rPr>
        <w:t>董事会秘书负责审核临时公告文稿;</w:t>
      </w:r>
    </w:p>
    <w:p w14:paraId="66586C05">
      <w:pPr>
        <w:numPr>
          <w:ilvl w:val="0"/>
          <w:numId w:val="21"/>
        </w:numPr>
        <w:tabs>
          <w:tab w:val="left" w:pos="2205"/>
          <w:tab w:val="clear" w:pos="1575"/>
        </w:tabs>
        <w:spacing w:line="288" w:lineRule="auto"/>
        <w:ind w:left="2233" w:leftChars="699" w:hanging="765" w:hangingChars="319"/>
        <w:rPr>
          <w:rFonts w:ascii="宋体" w:hAnsi="宋体" w:cs="Arial"/>
          <w:sz w:val="24"/>
        </w:rPr>
      </w:pPr>
      <w:r>
        <w:rPr>
          <w:rFonts w:ascii="宋体" w:hAnsi="宋体" w:cs="Arial"/>
          <w:sz w:val="24"/>
        </w:rPr>
        <w:t>董事会秘书负责组织定期报告的披露工作, 并及时将临时公告通报董事和高级管理人员。</w:t>
      </w:r>
    </w:p>
    <w:p w14:paraId="78DE234F">
      <w:pPr>
        <w:tabs>
          <w:tab w:val="left" w:pos="1470"/>
        </w:tabs>
        <w:spacing w:line="288" w:lineRule="auto"/>
        <w:rPr>
          <w:rFonts w:ascii="宋体" w:hAnsi="宋体" w:cs="Arial"/>
          <w:sz w:val="24"/>
        </w:rPr>
      </w:pPr>
    </w:p>
    <w:p w14:paraId="1D83ED65">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color w:val="000000"/>
          <w:sz w:val="24"/>
        </w:rPr>
        <w:t>向证券监管部门报送的报告</w:t>
      </w:r>
      <w:r>
        <w:rPr>
          <w:rFonts w:ascii="宋体" w:hAnsi="宋体" w:cs="Arial"/>
          <w:sz w:val="24"/>
        </w:rPr>
        <w:t>由董事会办公室</w:t>
      </w:r>
      <w:r>
        <w:rPr>
          <w:rFonts w:ascii="宋体" w:hAnsi="宋体" w:cs="Arial"/>
          <w:color w:val="000000"/>
          <w:sz w:val="24"/>
        </w:rPr>
        <w:t>或董事会指定的其他部门负责草拟, 董事会秘书负责审核。公司宣传文件对外发布前应当经董事会秘书书面同意。</w:t>
      </w:r>
    </w:p>
    <w:p w14:paraId="06E1DBE7">
      <w:pPr>
        <w:tabs>
          <w:tab w:val="left" w:pos="1470"/>
        </w:tabs>
        <w:spacing w:line="288" w:lineRule="auto"/>
        <w:rPr>
          <w:rFonts w:ascii="宋体" w:hAnsi="宋体" w:cs="Arial"/>
          <w:sz w:val="24"/>
        </w:rPr>
      </w:pPr>
    </w:p>
    <w:p w14:paraId="00F4333D">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信息公告由董事会秘书负责对外发布, 其他董事、高级管理人员, 未经董事会书面授权, 不得对外发布任何有关公司的重大信息。</w:t>
      </w:r>
    </w:p>
    <w:p w14:paraId="0D4259C1">
      <w:pPr>
        <w:pStyle w:val="2"/>
        <w:spacing w:line="300" w:lineRule="auto"/>
        <w:jc w:val="center"/>
        <w:rPr>
          <w:rFonts w:ascii="宋体" w:hAnsi="宋体" w:cs="Arial"/>
          <w:b/>
          <w:sz w:val="24"/>
          <w:szCs w:val="24"/>
        </w:rPr>
      </w:pPr>
      <w:r>
        <w:rPr>
          <w:rFonts w:ascii="宋体" w:hAnsi="宋体" w:cs="Arial"/>
          <w:b/>
          <w:sz w:val="24"/>
          <w:szCs w:val="24"/>
        </w:rPr>
        <w:t>第五章  重大信息的内部报告</w:t>
      </w:r>
    </w:p>
    <w:p w14:paraId="44617A12">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为确保公司及时、准确、全面地履行重大事项的信息披露义务, 公司实行重大信息的报告制度。</w:t>
      </w:r>
    </w:p>
    <w:p w14:paraId="2612BB59">
      <w:pPr>
        <w:tabs>
          <w:tab w:val="left" w:pos="1470"/>
        </w:tabs>
        <w:spacing w:line="288" w:lineRule="auto"/>
        <w:rPr>
          <w:rFonts w:ascii="宋体" w:hAnsi="宋体" w:cs="Arial"/>
          <w:sz w:val="24"/>
        </w:rPr>
      </w:pPr>
    </w:p>
    <w:p w14:paraId="540145F6">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公司董事、高级管理人员、各部门负责人、公司下属公司负责人均是报告重大信息的第一责任人, 负有报告其职权范围内所知悉的重大事项的义务。</w:t>
      </w:r>
    </w:p>
    <w:p w14:paraId="746533D0">
      <w:pPr>
        <w:tabs>
          <w:tab w:val="left" w:pos="1470"/>
        </w:tabs>
        <w:spacing w:line="288" w:lineRule="auto"/>
        <w:rPr>
          <w:rFonts w:ascii="宋体" w:hAnsi="宋体" w:cs="Arial"/>
          <w:sz w:val="24"/>
        </w:rPr>
      </w:pPr>
    </w:p>
    <w:p w14:paraId="11624BBC">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控股子公司的信息报告、董事及高级管理人员持股信息报告及主要股东及实际控制人的信息报告按下列规定执行</w:t>
      </w:r>
      <w:r>
        <w:rPr>
          <w:rFonts w:hint="eastAsia" w:ascii="宋体" w:hAnsi="宋体" w:cs="Arial"/>
          <w:sz w:val="24"/>
        </w:rPr>
        <w:t>，本制度未涉及的应参照《</w:t>
      </w:r>
      <w:r>
        <w:rPr>
          <w:rFonts w:hint="eastAsia" w:ascii="宋体" w:hAnsi="宋体" w:cs="Arial"/>
          <w:sz w:val="24"/>
          <w:lang w:val="en-US" w:eastAsia="zh-CN"/>
        </w:rPr>
        <w:t>永兴特种材料科技</w:t>
      </w:r>
      <w:r>
        <w:rPr>
          <w:rFonts w:hint="eastAsia" w:ascii="宋体" w:hAnsi="宋体" w:cs="Arial"/>
          <w:sz w:val="24"/>
        </w:rPr>
        <w:t>股份有限公司重大信息内部报告制度》执行</w:t>
      </w:r>
      <w:r>
        <w:rPr>
          <w:rFonts w:ascii="宋体" w:hAnsi="宋体" w:cs="Arial"/>
          <w:sz w:val="24"/>
        </w:rPr>
        <w:t>。</w:t>
      </w:r>
    </w:p>
    <w:p w14:paraId="7D13D5A9">
      <w:pPr>
        <w:spacing w:line="295" w:lineRule="auto"/>
        <w:rPr>
          <w:rFonts w:ascii="宋体" w:hAnsi="宋体" w:cs="Arial"/>
          <w:sz w:val="24"/>
        </w:rPr>
      </w:pPr>
    </w:p>
    <w:p w14:paraId="548C8AF7">
      <w:pPr>
        <w:pStyle w:val="2"/>
        <w:spacing w:before="0" w:after="0" w:line="300" w:lineRule="auto"/>
        <w:jc w:val="center"/>
        <w:rPr>
          <w:rFonts w:ascii="宋体" w:hAnsi="宋体" w:cs="Arial"/>
          <w:sz w:val="24"/>
          <w:szCs w:val="24"/>
        </w:rPr>
      </w:pPr>
      <w:bookmarkStart w:id="4" w:name="_Toc168994071"/>
      <w:r>
        <w:rPr>
          <w:rFonts w:ascii="宋体" w:hAnsi="宋体" w:cs="Arial"/>
          <w:sz w:val="24"/>
          <w:szCs w:val="24"/>
        </w:rPr>
        <w:t>第一节  控股子公司的信息报告</w:t>
      </w:r>
      <w:bookmarkEnd w:id="4"/>
    </w:p>
    <w:p w14:paraId="62DFC13E">
      <w:pPr>
        <w:spacing w:line="295" w:lineRule="auto"/>
        <w:rPr>
          <w:rFonts w:ascii="宋体" w:hAnsi="宋体" w:cs="Arial"/>
          <w:b/>
          <w:sz w:val="24"/>
        </w:rPr>
      </w:pPr>
    </w:p>
    <w:p w14:paraId="6CEF8BA6">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公司控股子公司发生的重大事件, 视同公司发生的重大事件, 适用本制度相关规定; 公司参股公司发生的重大事件, 可能对公司股票及其衍生品种交易价格产生较大影响的, 参照本制度相关规定, 履行信息披露义务。</w:t>
      </w:r>
    </w:p>
    <w:p w14:paraId="6ED3410F">
      <w:pPr>
        <w:spacing w:line="295" w:lineRule="auto"/>
        <w:rPr>
          <w:rFonts w:ascii="宋体" w:hAnsi="宋体" w:cs="Arial"/>
          <w:sz w:val="24"/>
        </w:rPr>
      </w:pPr>
    </w:p>
    <w:p w14:paraId="66F91016">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公司的控股子公司应依法建立内部信息报告制度, 安排专人(“信息披露负责人”)定期和不定期向董事会办公室进行报告和沟通, 以保证公司的信息披露符合《上市规则》、《管理办法》等有关法律法规及规范性文件的要求。</w:t>
      </w:r>
    </w:p>
    <w:p w14:paraId="4E6493D9">
      <w:pPr>
        <w:spacing w:line="295" w:lineRule="auto"/>
        <w:rPr>
          <w:rFonts w:ascii="宋体" w:hAnsi="宋体" w:cs="Arial"/>
          <w:sz w:val="24"/>
        </w:rPr>
      </w:pPr>
    </w:p>
    <w:p w14:paraId="4ED8FBC3">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定期报告: 控股子公司应每月向公司提交月度财务报告、管理报告和其它公司要求提供的资料, 以便公司对其经营、财务、应收账款、融资和担保等事项进行分析和检查。</w:t>
      </w:r>
    </w:p>
    <w:p w14:paraId="2316AF7D">
      <w:pPr>
        <w:spacing w:line="295" w:lineRule="auto"/>
        <w:rPr>
          <w:rFonts w:ascii="宋体" w:hAnsi="宋体" w:cs="Arial"/>
          <w:sz w:val="24"/>
        </w:rPr>
      </w:pPr>
    </w:p>
    <w:p w14:paraId="2E242424">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不定期报告: 控股子公司应及时向公司报告其将要发生或已经发生的重大事件, 并提交相关资料(包括但不限于内部决议、协议、政府批文、法院判决、中介机构报告、情况介绍等等)。</w:t>
      </w:r>
    </w:p>
    <w:p w14:paraId="0765047E">
      <w:pPr>
        <w:spacing w:line="295" w:lineRule="auto"/>
        <w:rPr>
          <w:rFonts w:ascii="宋体" w:hAnsi="宋体" w:cs="Arial"/>
          <w:sz w:val="24"/>
        </w:rPr>
      </w:pPr>
    </w:p>
    <w:p w14:paraId="174A1945">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控股子公司向公司进行信息报告应遵循以下规定:</w:t>
      </w:r>
    </w:p>
    <w:p w14:paraId="4A483004">
      <w:pPr>
        <w:numPr>
          <w:ilvl w:val="0"/>
          <w:numId w:val="22"/>
        </w:numPr>
        <w:tabs>
          <w:tab w:val="left" w:pos="2205"/>
          <w:tab w:val="clear" w:pos="2130"/>
        </w:tabs>
        <w:spacing w:line="295" w:lineRule="auto"/>
        <w:ind w:left="2205" w:hanging="735"/>
        <w:rPr>
          <w:rFonts w:ascii="宋体" w:hAnsi="宋体" w:cs="Arial"/>
          <w:sz w:val="24"/>
        </w:rPr>
      </w:pPr>
      <w:r>
        <w:rPr>
          <w:rFonts w:ascii="宋体" w:hAnsi="宋体" w:cs="Arial"/>
          <w:sz w:val="24"/>
        </w:rPr>
        <w:t>若控股子公司实施重大事件需经其股东会(股东大会)批准, 控股子公司应按相关法律法规及其章程之规定, 向公司发送会议通知及相关资料;</w:t>
      </w:r>
    </w:p>
    <w:p w14:paraId="7EDAE06D">
      <w:pPr>
        <w:numPr>
          <w:ilvl w:val="0"/>
          <w:numId w:val="22"/>
        </w:numPr>
        <w:tabs>
          <w:tab w:val="left" w:pos="2205"/>
          <w:tab w:val="clear" w:pos="2130"/>
        </w:tabs>
        <w:spacing w:line="295" w:lineRule="auto"/>
        <w:ind w:left="2205" w:hanging="735"/>
        <w:rPr>
          <w:rFonts w:ascii="宋体" w:hAnsi="宋体" w:cs="Arial"/>
          <w:sz w:val="24"/>
        </w:rPr>
      </w:pPr>
      <w:r>
        <w:rPr>
          <w:rFonts w:ascii="宋体" w:hAnsi="宋体" w:cs="Arial"/>
          <w:sz w:val="24"/>
        </w:rPr>
        <w:t>控股子公司召开董事会会议、监事会会议、股东会就有关重大事件进行决议的, 应在会后两个工作日内将会议决议及全套文件报董事会办公室;</w:t>
      </w:r>
    </w:p>
    <w:p w14:paraId="7065CBF4">
      <w:pPr>
        <w:numPr>
          <w:ilvl w:val="0"/>
          <w:numId w:val="22"/>
        </w:numPr>
        <w:tabs>
          <w:tab w:val="left" w:pos="2205"/>
          <w:tab w:val="clear" w:pos="2130"/>
        </w:tabs>
        <w:spacing w:line="295" w:lineRule="auto"/>
        <w:ind w:left="2205" w:hanging="735"/>
        <w:rPr>
          <w:rFonts w:ascii="宋体" w:hAnsi="宋体" w:cs="Arial"/>
          <w:sz w:val="24"/>
        </w:rPr>
      </w:pPr>
      <w:r>
        <w:rPr>
          <w:rFonts w:ascii="宋体" w:hAnsi="宋体" w:cs="Arial"/>
          <w:sz w:val="24"/>
        </w:rPr>
        <w:t>控股子公司发生重大事件, 且该等事项不需经过其董事会、股东会(股东大会)、监事会审批的, 控股子公司应按本制度相关规定及时向公司董事会秘书报告, 并按要求报送相关文件, 报送文件需经子公司董事长(或其指定授权人)签字。</w:t>
      </w:r>
    </w:p>
    <w:p w14:paraId="7F10C0E5">
      <w:pPr>
        <w:spacing w:line="295" w:lineRule="auto"/>
        <w:rPr>
          <w:rFonts w:ascii="宋体" w:hAnsi="宋体" w:cs="Arial"/>
          <w:sz w:val="24"/>
        </w:rPr>
      </w:pPr>
    </w:p>
    <w:p w14:paraId="773F92D6">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公司负责所有控股、参股子公司的信息披露事项, 任何控股、参股子公司均不得违反本制度自行对外披露重大事件的相关信息。</w:t>
      </w:r>
    </w:p>
    <w:p w14:paraId="0910E3EE">
      <w:pPr>
        <w:spacing w:line="295" w:lineRule="auto"/>
        <w:rPr>
          <w:rFonts w:ascii="宋体" w:hAnsi="宋体" w:cs="Arial"/>
          <w:sz w:val="24"/>
        </w:rPr>
      </w:pPr>
    </w:p>
    <w:p w14:paraId="6C3F83CF">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控股子公司可根据本制度制定专门的信息披露规定, 并报公司备案</w:t>
      </w:r>
      <w:r>
        <w:rPr>
          <w:rFonts w:hint="eastAsia" w:ascii="宋体" w:hAnsi="宋体" w:cs="Arial"/>
          <w:sz w:val="24"/>
        </w:rPr>
        <w:t>。</w:t>
      </w:r>
    </w:p>
    <w:p w14:paraId="44F1C5A2">
      <w:pPr>
        <w:spacing w:line="288" w:lineRule="auto"/>
        <w:rPr>
          <w:rFonts w:ascii="宋体" w:hAnsi="宋体" w:cs="Arial"/>
          <w:sz w:val="24"/>
        </w:rPr>
      </w:pPr>
    </w:p>
    <w:p w14:paraId="415F9AAC">
      <w:pPr>
        <w:pStyle w:val="2"/>
        <w:spacing w:before="0" w:after="0" w:line="300" w:lineRule="auto"/>
        <w:jc w:val="center"/>
        <w:rPr>
          <w:rFonts w:ascii="宋体" w:hAnsi="宋体" w:cs="Arial"/>
          <w:sz w:val="24"/>
          <w:szCs w:val="24"/>
        </w:rPr>
      </w:pPr>
      <w:bookmarkStart w:id="5" w:name="_Toc168994072"/>
      <w:r>
        <w:rPr>
          <w:rFonts w:ascii="宋体" w:hAnsi="宋体" w:cs="Arial"/>
          <w:sz w:val="24"/>
          <w:szCs w:val="24"/>
        </w:rPr>
        <w:t>第二节  董事及高级管理人员持股信息报告</w:t>
      </w:r>
      <w:bookmarkEnd w:id="5"/>
    </w:p>
    <w:p w14:paraId="5CC40674">
      <w:pPr>
        <w:spacing w:line="288" w:lineRule="auto"/>
        <w:jc w:val="center"/>
        <w:rPr>
          <w:rFonts w:ascii="宋体" w:hAnsi="宋体" w:cs="Arial"/>
          <w:b/>
          <w:sz w:val="24"/>
        </w:rPr>
      </w:pPr>
    </w:p>
    <w:p w14:paraId="6FC76237">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公司董事和高级管理人员持有及买卖公司股票应遵守《上市公司董事和高级管理人员所持本公司股份及其变动管理规则》等相关法律法规的规定。公司董事和高级管理人员所持公司股份发生变动的, 应当自该事实发生之日起2个交易日内, 向公司报告并由公司在深圳证券交易所网站进行公告。</w:t>
      </w:r>
    </w:p>
    <w:p w14:paraId="676E438F">
      <w:pPr>
        <w:tabs>
          <w:tab w:val="left" w:pos="1470"/>
        </w:tabs>
        <w:spacing w:line="288" w:lineRule="auto"/>
        <w:rPr>
          <w:rFonts w:ascii="宋体" w:hAnsi="宋体" w:cs="Arial"/>
          <w:sz w:val="24"/>
        </w:rPr>
      </w:pPr>
    </w:p>
    <w:p w14:paraId="3125D2E1">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公司董事和高级管理人员应定期向公司报告其个人及父母、子女、兄弟姐妹持有公司股份及买卖本公司股票的情况。</w:t>
      </w:r>
    </w:p>
    <w:p w14:paraId="3F02EFEF">
      <w:pPr>
        <w:tabs>
          <w:tab w:val="left" w:pos="1470"/>
        </w:tabs>
        <w:spacing w:line="288" w:lineRule="auto"/>
        <w:rPr>
          <w:rFonts w:ascii="宋体" w:hAnsi="宋体" w:cs="Arial"/>
          <w:sz w:val="24"/>
        </w:rPr>
      </w:pPr>
    </w:p>
    <w:p w14:paraId="42976A37">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董事会秘书负责管理公司董事和高级管理人员的身份及所持本公司股份的数据和信息, 统一为董事和高级管理人员办理个人信息的网上申报, 并定期检查董事和高级管理人员买卖本公司股票的披露情况。</w:t>
      </w:r>
    </w:p>
    <w:p w14:paraId="12256DC6">
      <w:pPr>
        <w:spacing w:line="295" w:lineRule="auto"/>
        <w:rPr>
          <w:rFonts w:ascii="宋体" w:hAnsi="宋体" w:cs="Arial"/>
          <w:sz w:val="24"/>
        </w:rPr>
      </w:pPr>
    </w:p>
    <w:p w14:paraId="3D42B924">
      <w:pPr>
        <w:pStyle w:val="2"/>
        <w:spacing w:before="0" w:after="0" w:line="300" w:lineRule="auto"/>
        <w:jc w:val="center"/>
        <w:rPr>
          <w:rFonts w:ascii="宋体" w:hAnsi="宋体" w:cs="Arial"/>
          <w:sz w:val="24"/>
          <w:szCs w:val="24"/>
        </w:rPr>
      </w:pPr>
      <w:bookmarkStart w:id="6" w:name="_Toc168994073"/>
      <w:r>
        <w:rPr>
          <w:rFonts w:ascii="宋体" w:hAnsi="宋体" w:cs="Arial"/>
          <w:sz w:val="24"/>
          <w:szCs w:val="24"/>
        </w:rPr>
        <w:t>第三节  主要股东及实际控制人的信息报告</w:t>
      </w:r>
      <w:bookmarkEnd w:id="6"/>
    </w:p>
    <w:p w14:paraId="12180825">
      <w:pPr>
        <w:spacing w:line="295" w:lineRule="auto"/>
        <w:jc w:val="center"/>
        <w:rPr>
          <w:rFonts w:ascii="宋体" w:hAnsi="宋体" w:cs="Arial"/>
          <w:b/>
          <w:sz w:val="24"/>
        </w:rPr>
      </w:pPr>
    </w:p>
    <w:p w14:paraId="53F65587">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公司的股东、实际控制人</w:t>
      </w:r>
      <w:r>
        <w:rPr>
          <w:rFonts w:hint="eastAsia" w:ascii="宋体" w:hAnsi="宋体" w:cs="Arial"/>
          <w:sz w:val="24"/>
        </w:rPr>
        <w:t>和持有公司5%以上股份的股东</w:t>
      </w:r>
      <w:r>
        <w:rPr>
          <w:rFonts w:ascii="宋体" w:hAnsi="宋体" w:cs="Arial"/>
          <w:sz w:val="24"/>
        </w:rPr>
        <w:t xml:space="preserve">发生以下事件时, 应当指派专人及时、主动向董事会办公室或董事会秘书报告, 并提交相关资料(包括但不限于内部决议、协议、政府批文、法院判决、中介机构报告、情况介绍等等), 履行相应的信息披露义务, 并持续地向公司报告事件的进程:  </w:t>
      </w:r>
    </w:p>
    <w:p w14:paraId="038CCA28">
      <w:pPr>
        <w:numPr>
          <w:ilvl w:val="0"/>
          <w:numId w:val="23"/>
        </w:numPr>
        <w:tabs>
          <w:tab w:val="left" w:pos="2205"/>
          <w:tab w:val="clear" w:pos="2130"/>
        </w:tabs>
        <w:spacing w:line="295" w:lineRule="auto"/>
        <w:ind w:left="2205" w:hanging="735"/>
        <w:rPr>
          <w:rFonts w:ascii="宋体" w:hAnsi="宋体" w:cs="Arial"/>
          <w:sz w:val="24"/>
        </w:rPr>
      </w:pPr>
      <w:r>
        <w:rPr>
          <w:rFonts w:hint="eastAsia" w:ascii="宋体" w:hAnsi="宋体" w:cs="Arial"/>
          <w:sz w:val="24"/>
        </w:rPr>
        <w:t>持有公司百分之五以上股份的股东或者实际控制人持有股份或者控制公司的情况发生较大变化，公司的实际控制人及其控制的其他企业从事与公司相同或者相似业务的情况发生较大变化；</w:t>
      </w:r>
    </w:p>
    <w:p w14:paraId="61428C0F">
      <w:pPr>
        <w:numPr>
          <w:ilvl w:val="0"/>
          <w:numId w:val="23"/>
        </w:numPr>
        <w:tabs>
          <w:tab w:val="left" w:pos="2205"/>
          <w:tab w:val="clear" w:pos="2130"/>
        </w:tabs>
        <w:spacing w:line="295" w:lineRule="auto"/>
        <w:ind w:left="2205" w:hanging="735"/>
        <w:rPr>
          <w:rFonts w:ascii="宋体" w:hAnsi="宋体" w:cs="Arial"/>
          <w:sz w:val="24"/>
        </w:rPr>
      </w:pPr>
      <w:r>
        <w:rPr>
          <w:rFonts w:hint="eastAsia" w:ascii="宋体" w:hAnsi="宋体" w:cs="Arial"/>
          <w:sz w:val="24"/>
        </w:rPr>
        <w:t>法院裁决禁止控股股东转让其所持股份，任一股东所持公司百分之五以上股份被质押、冻结、司法拍卖、托管、设定信托或者被依法限制表决权等，或者出现被强制过户风险</w:t>
      </w:r>
      <w:r>
        <w:rPr>
          <w:rFonts w:ascii="宋体" w:hAnsi="宋体" w:cs="Arial"/>
          <w:sz w:val="24"/>
        </w:rPr>
        <w:t>;</w:t>
      </w:r>
    </w:p>
    <w:p w14:paraId="580E63BB">
      <w:pPr>
        <w:numPr>
          <w:ilvl w:val="0"/>
          <w:numId w:val="23"/>
        </w:numPr>
        <w:tabs>
          <w:tab w:val="left" w:pos="2205"/>
          <w:tab w:val="clear" w:pos="2130"/>
        </w:tabs>
        <w:spacing w:line="295" w:lineRule="auto"/>
        <w:ind w:left="2205" w:hanging="735"/>
        <w:rPr>
          <w:rFonts w:ascii="宋体" w:hAnsi="宋体" w:cs="Arial"/>
          <w:sz w:val="24"/>
        </w:rPr>
      </w:pPr>
      <w:r>
        <w:rPr>
          <w:rFonts w:ascii="宋体" w:hAnsi="宋体" w:cs="Arial"/>
          <w:sz w:val="24"/>
        </w:rPr>
        <w:t>拟对公司进行重大资产或者业务重组；</w:t>
      </w:r>
    </w:p>
    <w:p w14:paraId="135DB6D0">
      <w:pPr>
        <w:numPr>
          <w:ilvl w:val="0"/>
          <w:numId w:val="23"/>
        </w:numPr>
        <w:tabs>
          <w:tab w:val="left" w:pos="2205"/>
          <w:tab w:val="clear" w:pos="2130"/>
        </w:tabs>
        <w:spacing w:line="295" w:lineRule="auto"/>
        <w:ind w:left="2205" w:hanging="735"/>
        <w:rPr>
          <w:rFonts w:ascii="宋体" w:hAnsi="宋体" w:cs="Arial"/>
          <w:sz w:val="24"/>
        </w:rPr>
      </w:pPr>
      <w:r>
        <w:rPr>
          <w:rFonts w:ascii="宋体" w:hAnsi="宋体" w:cs="Arial"/>
          <w:sz w:val="24"/>
        </w:rPr>
        <w:t>中国证监会规定的其他情形。</w:t>
      </w:r>
    </w:p>
    <w:p w14:paraId="03FF3BEC">
      <w:pPr>
        <w:tabs>
          <w:tab w:val="left" w:pos="2205"/>
        </w:tabs>
        <w:spacing w:line="295" w:lineRule="auto"/>
        <w:rPr>
          <w:rFonts w:ascii="宋体" w:hAnsi="宋体" w:cs="Arial"/>
          <w:sz w:val="24"/>
        </w:rPr>
      </w:pPr>
    </w:p>
    <w:p w14:paraId="5F0074F8">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应当披露的信息依法披露前, 相关信息已在媒体上传播或者公司证券及其衍生品种出现交易异常情况的, 股东或者实际控制人应当及时、准确地向公司作出书面报告, 并配合公司及时、准确地公告。</w:t>
      </w:r>
    </w:p>
    <w:p w14:paraId="16C847D5">
      <w:pPr>
        <w:tabs>
          <w:tab w:val="left" w:pos="1470"/>
        </w:tabs>
        <w:spacing w:line="295" w:lineRule="auto"/>
        <w:ind w:left="1470"/>
        <w:rPr>
          <w:rFonts w:ascii="宋体" w:hAnsi="宋体" w:cs="Arial"/>
          <w:sz w:val="24"/>
        </w:rPr>
      </w:pPr>
    </w:p>
    <w:p w14:paraId="54BEDA86">
      <w:pPr>
        <w:tabs>
          <w:tab w:val="left" w:pos="1470"/>
        </w:tabs>
        <w:spacing w:line="295" w:lineRule="auto"/>
        <w:ind w:left="1470"/>
        <w:rPr>
          <w:rFonts w:ascii="宋体" w:hAnsi="宋体" w:cs="Arial"/>
          <w:sz w:val="24"/>
        </w:rPr>
      </w:pPr>
      <w:r>
        <w:rPr>
          <w:rFonts w:hint="eastAsia" w:ascii="宋体" w:hAnsi="宋体" w:cs="Arial"/>
          <w:sz w:val="24"/>
        </w:rPr>
        <w:t>公司的股东、实际控制人不得滥用其股东权利、支配地位，不得要求上市公司向其提供内幕信息。</w:t>
      </w:r>
    </w:p>
    <w:p w14:paraId="6FFB7468">
      <w:pPr>
        <w:tabs>
          <w:tab w:val="left" w:pos="1470"/>
        </w:tabs>
        <w:spacing w:line="295" w:lineRule="auto"/>
        <w:ind w:left="1470"/>
        <w:rPr>
          <w:rFonts w:ascii="宋体" w:hAnsi="宋体" w:cs="Arial"/>
          <w:sz w:val="24"/>
        </w:rPr>
      </w:pPr>
    </w:p>
    <w:p w14:paraId="74155DED">
      <w:pPr>
        <w:tabs>
          <w:tab w:val="left" w:pos="1470"/>
        </w:tabs>
        <w:spacing w:line="295" w:lineRule="auto"/>
        <w:ind w:left="1470"/>
        <w:rPr>
          <w:rFonts w:ascii="宋体" w:hAnsi="宋体" w:cs="Arial"/>
          <w:sz w:val="24"/>
        </w:rPr>
      </w:pPr>
      <w:r>
        <w:rPr>
          <w:rFonts w:hint="eastAsia" w:ascii="宋体" w:hAnsi="宋体" w:cs="Arial"/>
          <w:sz w:val="24"/>
        </w:rPr>
        <w:t>公司董事、高级管理人员、持股百分之五以上的股东及其一致行动人、实际控制人应当及时向公司董事会报送上市公司关联人名单及关联关系的说明。公司应当履行关联交易的审议程序，并严格执行关联交易回避表决制度。交易各方不得通过隐瞒关联关系或者采取其他手段，规避公司的关联交易审议程序和信息披露义务。</w:t>
      </w:r>
    </w:p>
    <w:p w14:paraId="6B447FC4">
      <w:pPr>
        <w:spacing w:line="295" w:lineRule="auto"/>
        <w:ind w:firstLine="450"/>
        <w:rPr>
          <w:rFonts w:ascii="宋体" w:hAnsi="宋体" w:cs="Arial"/>
          <w:sz w:val="24"/>
        </w:rPr>
      </w:pPr>
    </w:p>
    <w:p w14:paraId="2A08FAB5">
      <w:pPr>
        <w:numPr>
          <w:ilvl w:val="0"/>
          <w:numId w:val="1"/>
        </w:numPr>
        <w:tabs>
          <w:tab w:val="left" w:pos="1470"/>
          <w:tab w:val="clear" w:pos="0"/>
        </w:tabs>
        <w:spacing w:line="295" w:lineRule="auto"/>
        <w:ind w:left="1470" w:hanging="1470"/>
        <w:rPr>
          <w:rFonts w:ascii="宋体" w:hAnsi="宋体" w:cs="Arial"/>
          <w:sz w:val="24"/>
        </w:rPr>
      </w:pPr>
      <w:r>
        <w:rPr>
          <w:rFonts w:ascii="宋体" w:hAnsi="宋体" w:cs="Arial"/>
          <w:sz w:val="24"/>
        </w:rPr>
        <w:t>通过接受委托或者信托等方式持有公司5%以上股份的股东或者实际控制人, 应当及时将委托人情况告知公司, 配合公司履行信息披露义务。</w:t>
      </w:r>
    </w:p>
    <w:p w14:paraId="347F3854">
      <w:pPr>
        <w:pStyle w:val="2"/>
        <w:spacing w:line="300" w:lineRule="auto"/>
        <w:jc w:val="center"/>
        <w:rPr>
          <w:rFonts w:ascii="宋体" w:hAnsi="宋体" w:cs="Arial"/>
          <w:sz w:val="24"/>
          <w:szCs w:val="24"/>
        </w:rPr>
      </w:pPr>
      <w:r>
        <w:rPr>
          <w:rFonts w:ascii="宋体" w:hAnsi="宋体" w:cs="Arial"/>
          <w:b/>
          <w:sz w:val="24"/>
          <w:szCs w:val="24"/>
        </w:rPr>
        <w:t>第六章  信息披露的责任划分</w:t>
      </w:r>
    </w:p>
    <w:p w14:paraId="2711A118">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公司董事会</w:t>
      </w:r>
      <w:r>
        <w:rPr>
          <w:rFonts w:hint="eastAsia" w:ascii="宋体" w:hAnsi="宋体" w:cs="Arial"/>
          <w:sz w:val="24"/>
        </w:rPr>
        <w:t>统一</w:t>
      </w:r>
      <w:r>
        <w:rPr>
          <w:rFonts w:ascii="宋体" w:hAnsi="宋体" w:cs="Arial"/>
          <w:sz w:val="24"/>
        </w:rPr>
        <w:t xml:space="preserve">领导和管理信息披露工作, </w:t>
      </w:r>
      <w:r>
        <w:rPr>
          <w:rFonts w:hint="eastAsia" w:ascii="宋体" w:hAnsi="宋体" w:cs="Arial"/>
          <w:sz w:val="24"/>
        </w:rPr>
        <w:t>董事长对公司信息披露事务管理承担首要责任</w:t>
      </w:r>
      <w:r>
        <w:rPr>
          <w:rFonts w:ascii="宋体" w:hAnsi="宋体" w:cs="Arial"/>
          <w:sz w:val="24"/>
        </w:rPr>
        <w:t xml:space="preserve">, </w:t>
      </w:r>
      <w:r>
        <w:rPr>
          <w:rFonts w:hint="eastAsia" w:ascii="宋体" w:hAnsi="宋体" w:cs="Arial"/>
          <w:sz w:val="24"/>
        </w:rPr>
        <w:t>董事会秘书为信息披露工作的主要责任人</w:t>
      </w:r>
      <w:r>
        <w:rPr>
          <w:rFonts w:ascii="宋体" w:hAnsi="宋体" w:cs="Arial"/>
          <w:sz w:val="24"/>
        </w:rPr>
        <w:t xml:space="preserve">, </w:t>
      </w:r>
      <w:r>
        <w:rPr>
          <w:rFonts w:hint="eastAsia" w:ascii="宋体" w:hAnsi="宋体" w:cs="Arial"/>
          <w:sz w:val="24"/>
        </w:rPr>
        <w:t>负责组织和协调公司信息披露事务, 办理公司信息对外公布等相关事宜</w:t>
      </w:r>
      <w:r>
        <w:rPr>
          <w:rFonts w:ascii="宋体" w:hAnsi="宋体" w:cs="Arial"/>
          <w:sz w:val="24"/>
        </w:rPr>
        <w:t>。</w:t>
      </w:r>
    </w:p>
    <w:p w14:paraId="23F109EB">
      <w:pPr>
        <w:tabs>
          <w:tab w:val="left" w:pos="1470"/>
        </w:tabs>
        <w:spacing w:line="288" w:lineRule="auto"/>
        <w:rPr>
          <w:rFonts w:ascii="宋体" w:hAnsi="宋体" w:cs="Arial"/>
          <w:sz w:val="24"/>
        </w:rPr>
      </w:pPr>
    </w:p>
    <w:p w14:paraId="146C8885">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董事和董事会、</w:t>
      </w:r>
      <w:r>
        <w:rPr>
          <w:rFonts w:hint="eastAsia" w:ascii="宋体" w:hAnsi="宋体" w:cs="Arial"/>
          <w:sz w:val="24"/>
        </w:rPr>
        <w:t>审计委员会成员和审计委员会</w:t>
      </w:r>
      <w:r>
        <w:rPr>
          <w:rFonts w:ascii="宋体" w:hAnsi="宋体" w:cs="Arial"/>
          <w:sz w:val="24"/>
        </w:rPr>
        <w:t xml:space="preserve">、高级管理人员应当配合董事会秘书信息披露相关工作, 并为董事会秘书和董事会办公室履行职责提供工作便利, </w:t>
      </w:r>
      <w:r>
        <w:rPr>
          <w:rFonts w:hint="eastAsia" w:ascii="宋体" w:hAnsi="宋体" w:cs="Arial"/>
          <w:sz w:val="24"/>
        </w:rPr>
        <w:t>财务负责人应当配合董事会秘书在财务信息披露方面的相关工作，</w:t>
      </w:r>
      <w:r>
        <w:rPr>
          <w:rFonts w:ascii="宋体" w:hAnsi="宋体" w:cs="Arial"/>
          <w:sz w:val="24"/>
        </w:rPr>
        <w:t>董事会和公司</w:t>
      </w:r>
      <w:r>
        <w:rPr>
          <w:rFonts w:hint="eastAsia" w:ascii="宋体" w:hAnsi="宋体" w:cs="Arial"/>
          <w:sz w:val="24"/>
        </w:rPr>
        <w:t>管理</w:t>
      </w:r>
      <w:r>
        <w:rPr>
          <w:rFonts w:ascii="宋体" w:hAnsi="宋体" w:cs="Arial"/>
          <w:sz w:val="24"/>
        </w:rPr>
        <w:t>层应当建立有效机制, 确保董事会秘书能够第一时间获悉公司重大信息, 保证信息披露的及时性、准确性、公平性和完整性。</w:t>
      </w:r>
    </w:p>
    <w:p w14:paraId="3AE63E2C">
      <w:pPr>
        <w:spacing w:line="288" w:lineRule="auto"/>
        <w:ind w:firstLine="450"/>
        <w:rPr>
          <w:rFonts w:ascii="宋体" w:hAnsi="宋体" w:cs="Arial"/>
          <w:sz w:val="24"/>
        </w:rPr>
      </w:pPr>
    </w:p>
    <w:p w14:paraId="4A929224">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董事应当了解并持续关注公司生产经营情况、财务状况和公司已经发生的或者可能发生的重大事件及其影响, 主动调查、获取决策所需要的资料。</w:t>
      </w:r>
    </w:p>
    <w:p w14:paraId="54E836F2">
      <w:pPr>
        <w:tabs>
          <w:tab w:val="left" w:pos="1470"/>
        </w:tabs>
        <w:spacing w:line="288" w:lineRule="auto"/>
        <w:rPr>
          <w:rFonts w:ascii="宋体" w:hAnsi="宋体" w:cs="Arial"/>
          <w:sz w:val="24"/>
        </w:rPr>
      </w:pPr>
    </w:p>
    <w:p w14:paraId="3EF97BBD">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董事会应当定期对公司信息披露管理制度的实施情况进行自查, 发现问题的, 应当及时改正, 并在年度董事会报告中披露公司信息披露管理制度执行情况。</w:t>
      </w:r>
    </w:p>
    <w:p w14:paraId="74C276A7">
      <w:pPr>
        <w:spacing w:line="288" w:lineRule="auto"/>
        <w:rPr>
          <w:rFonts w:ascii="宋体" w:hAnsi="宋体" w:cs="Arial"/>
          <w:sz w:val="24"/>
        </w:rPr>
      </w:pPr>
    </w:p>
    <w:p w14:paraId="0B839FF6">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审计委员会</w:t>
      </w:r>
      <w:r>
        <w:rPr>
          <w:rFonts w:ascii="宋体" w:hAnsi="宋体" w:cs="Arial"/>
          <w:sz w:val="24"/>
        </w:rPr>
        <w:t>应当对公司董事、高级管理人员履行信息披露职责的行为进行监督; 关注公司信息披露情况, 发现信息披露存在违法违规问题的, 应当进行调查并提出处理建议。</w:t>
      </w:r>
    </w:p>
    <w:p w14:paraId="0E064B5C">
      <w:pPr>
        <w:spacing w:line="288" w:lineRule="auto"/>
        <w:rPr>
          <w:rFonts w:ascii="宋体" w:hAnsi="宋体" w:cs="Arial"/>
          <w:sz w:val="24"/>
        </w:rPr>
      </w:pPr>
    </w:p>
    <w:p w14:paraId="76076A9C">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高级管理人员应当及时向董事会报告有关公司经营或者财务方面出现的重大事件、已披露的事件的进展或者变化情况及其他相关信息。</w:t>
      </w:r>
    </w:p>
    <w:p w14:paraId="1D9F1BD1">
      <w:pPr>
        <w:pStyle w:val="21"/>
        <w:ind w:firstLine="480"/>
        <w:rPr>
          <w:rFonts w:ascii="宋体" w:hAnsi="宋体" w:cs="Arial"/>
          <w:sz w:val="24"/>
        </w:rPr>
      </w:pPr>
    </w:p>
    <w:p w14:paraId="781BB77F">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持股达到规定比例的股东、实际控制人以及收购人、交易对方等信息披露义务人应当依照相关规定进行信息披露, 并配合公司的信息披露工作, 及时告知公司控制权变更、权益变动、与其他单位和个人的关联关系及其变化等重大事项, 答复公司的问询, 保证所提供的信息真实、准确、完整。</w:t>
      </w:r>
    </w:p>
    <w:p w14:paraId="38279264">
      <w:pPr>
        <w:pStyle w:val="21"/>
        <w:ind w:firstLine="480"/>
        <w:rPr>
          <w:rFonts w:ascii="宋体" w:hAnsi="宋体" w:cs="Arial"/>
          <w:sz w:val="24"/>
        </w:rPr>
      </w:pPr>
    </w:p>
    <w:p w14:paraId="534A51BF">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公司接到证券监管部门的文件, 包括但不限于: 监管部门新颁布的规章、规范性文件以及规则、细则、指引、通知等相关业务规则; 监管部门发出的通报批评以上处分的决定文件; 监管部门向公司发出的监管函、关注函、问询函等任何函件等等, 应当第一时间向董事长报告, 除涉及国家机密、商业秘密等特殊情形外, 董事长应督促董事会秘书及时将收到的文件向所有董事和高级管理人员通报。</w:t>
      </w:r>
    </w:p>
    <w:p w14:paraId="7578A6B0">
      <w:pPr>
        <w:pStyle w:val="2"/>
        <w:spacing w:line="300" w:lineRule="auto"/>
        <w:jc w:val="center"/>
        <w:rPr>
          <w:rFonts w:ascii="宋体" w:hAnsi="宋体" w:cs="Arial"/>
          <w:b/>
          <w:sz w:val="24"/>
          <w:szCs w:val="24"/>
        </w:rPr>
      </w:pPr>
      <w:r>
        <w:rPr>
          <w:rFonts w:ascii="宋体" w:hAnsi="宋体" w:cs="Arial"/>
          <w:b/>
          <w:sz w:val="24"/>
          <w:szCs w:val="24"/>
        </w:rPr>
        <w:t>第七章  信息披露的常设机构及董事会秘书</w:t>
      </w:r>
    </w:p>
    <w:p w14:paraId="6264B30F">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 xml:space="preserve">董事会办公室为公司信息披露的常设机构和股东来访接待机构。(地址: </w:t>
      </w:r>
      <w:r>
        <w:rPr>
          <w:rFonts w:hint="eastAsia" w:ascii="宋体" w:hAnsi="宋体" w:cs="Arial"/>
          <w:sz w:val="24"/>
        </w:rPr>
        <w:t>湖州市杨家埠</w:t>
      </w:r>
      <w:r>
        <w:rPr>
          <w:rFonts w:ascii="宋体" w:hAnsi="宋体" w:cs="Arial"/>
          <w:sz w:val="24"/>
        </w:rPr>
        <w:t>; 邮编:</w:t>
      </w:r>
      <w:r>
        <w:rPr>
          <w:rFonts w:hint="eastAsia" w:ascii="宋体" w:hAnsi="宋体" w:cs="Arial"/>
          <w:sz w:val="24"/>
        </w:rPr>
        <w:t xml:space="preserve"> 31</w:t>
      </w:r>
      <w:r>
        <w:rPr>
          <w:rFonts w:hint="eastAsia" w:ascii="宋体" w:hAnsi="宋体" w:cs="Arial"/>
          <w:sz w:val="24"/>
          <w:lang w:val="en-US" w:eastAsia="zh-CN"/>
        </w:rPr>
        <w:t>3</w:t>
      </w:r>
      <w:r>
        <w:rPr>
          <w:rFonts w:hint="eastAsia" w:ascii="宋体" w:hAnsi="宋体" w:cs="Arial"/>
          <w:sz w:val="24"/>
        </w:rPr>
        <w:t>005</w:t>
      </w:r>
      <w:r>
        <w:rPr>
          <w:rFonts w:ascii="宋体" w:hAnsi="宋体" w:cs="Arial"/>
          <w:sz w:val="24"/>
        </w:rPr>
        <w:t>), 其负责人为董事会秘书。</w:t>
      </w:r>
    </w:p>
    <w:p w14:paraId="48BECBBB">
      <w:pPr>
        <w:spacing w:line="288" w:lineRule="auto"/>
        <w:ind w:left="840"/>
        <w:rPr>
          <w:rFonts w:ascii="宋体" w:hAnsi="宋体" w:cs="Arial"/>
          <w:sz w:val="24"/>
        </w:rPr>
      </w:pPr>
    </w:p>
    <w:p w14:paraId="0AE842E6">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在信息披露事务管理中, 董事会办公室承担如下职责:</w:t>
      </w:r>
    </w:p>
    <w:p w14:paraId="4A56CAB9">
      <w:pPr>
        <w:numPr>
          <w:ilvl w:val="2"/>
          <w:numId w:val="1"/>
        </w:numPr>
        <w:tabs>
          <w:tab w:val="left" w:pos="2205"/>
          <w:tab w:val="clear" w:pos="1345"/>
        </w:tabs>
        <w:spacing w:line="288" w:lineRule="auto"/>
        <w:ind w:left="2205" w:hanging="735"/>
        <w:rPr>
          <w:rFonts w:ascii="宋体" w:hAnsi="宋体" w:cs="Arial"/>
          <w:sz w:val="24"/>
        </w:rPr>
      </w:pPr>
      <w:r>
        <w:rPr>
          <w:rFonts w:ascii="宋体" w:hAnsi="宋体" w:cs="Arial"/>
          <w:sz w:val="24"/>
        </w:rPr>
        <w:t>负责起草、编制公司临时报告;</w:t>
      </w:r>
    </w:p>
    <w:p w14:paraId="5DADE315">
      <w:pPr>
        <w:numPr>
          <w:ilvl w:val="2"/>
          <w:numId w:val="1"/>
        </w:numPr>
        <w:tabs>
          <w:tab w:val="left" w:pos="2205"/>
          <w:tab w:val="clear" w:pos="1345"/>
        </w:tabs>
        <w:spacing w:line="288" w:lineRule="auto"/>
        <w:ind w:left="2205" w:hanging="735"/>
        <w:rPr>
          <w:rFonts w:ascii="宋体" w:hAnsi="宋体" w:cs="Arial"/>
          <w:sz w:val="24"/>
        </w:rPr>
      </w:pPr>
      <w:r>
        <w:rPr>
          <w:rFonts w:ascii="宋体" w:hAnsi="宋体" w:cs="Arial"/>
          <w:sz w:val="24"/>
        </w:rPr>
        <w:t>负责完成信息披露申请及发布;</w:t>
      </w:r>
    </w:p>
    <w:p w14:paraId="44E61537">
      <w:pPr>
        <w:numPr>
          <w:ilvl w:val="2"/>
          <w:numId w:val="1"/>
        </w:numPr>
        <w:tabs>
          <w:tab w:val="left" w:pos="2205"/>
          <w:tab w:val="clear" w:pos="1345"/>
        </w:tabs>
        <w:spacing w:line="288" w:lineRule="auto"/>
        <w:ind w:left="2205" w:hanging="735"/>
        <w:rPr>
          <w:rFonts w:ascii="宋体" w:hAnsi="宋体" w:cs="Arial"/>
          <w:sz w:val="24"/>
        </w:rPr>
      </w:pPr>
      <w:r>
        <w:rPr>
          <w:rFonts w:ascii="宋体" w:hAnsi="宋体" w:cs="Arial"/>
          <w:sz w:val="24"/>
        </w:rPr>
        <w:t>负责收集各子公司、主要股东及关联方发生的重大事项, 并按相关规定进行汇报及披露;</w:t>
      </w:r>
    </w:p>
    <w:p w14:paraId="2EFE3E89">
      <w:pPr>
        <w:numPr>
          <w:ilvl w:val="2"/>
          <w:numId w:val="1"/>
        </w:numPr>
        <w:tabs>
          <w:tab w:val="left" w:pos="2205"/>
          <w:tab w:val="clear" w:pos="1345"/>
        </w:tabs>
        <w:spacing w:line="288" w:lineRule="auto"/>
        <w:ind w:left="2205" w:hanging="735"/>
        <w:rPr>
          <w:rFonts w:ascii="宋体" w:hAnsi="宋体" w:cs="Arial"/>
          <w:sz w:val="24"/>
        </w:rPr>
      </w:pPr>
      <w:r>
        <w:rPr>
          <w:rFonts w:ascii="宋体" w:hAnsi="宋体" w:cs="Arial"/>
          <w:sz w:val="24"/>
        </w:rPr>
        <w:t>本制度规定的其他职责。</w:t>
      </w:r>
    </w:p>
    <w:p w14:paraId="1476BCAC">
      <w:pPr>
        <w:autoSpaceDE w:val="0"/>
        <w:autoSpaceDN w:val="0"/>
        <w:adjustRightInd w:val="0"/>
        <w:spacing w:line="288" w:lineRule="auto"/>
        <w:jc w:val="left"/>
        <w:rPr>
          <w:rFonts w:ascii="宋体" w:hAnsi="宋体" w:cs="Arial"/>
          <w:kern w:val="0"/>
          <w:sz w:val="24"/>
        </w:rPr>
      </w:pPr>
    </w:p>
    <w:p w14:paraId="687DC2C4">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董事会秘书是公司与深圳证券交易所的指定联络人, 负责公司和相关当事人与深圳证券交易所及其他证券监管机构之间的及时沟通和联络。</w:t>
      </w:r>
    </w:p>
    <w:p w14:paraId="6CF21F0A">
      <w:pPr>
        <w:spacing w:line="288" w:lineRule="auto"/>
        <w:ind w:left="840"/>
        <w:rPr>
          <w:rFonts w:ascii="宋体" w:hAnsi="宋体" w:cs="Arial"/>
          <w:sz w:val="24"/>
        </w:rPr>
      </w:pPr>
    </w:p>
    <w:p w14:paraId="5F8E59E1">
      <w:pPr>
        <w:pStyle w:val="4"/>
        <w:spacing w:line="288" w:lineRule="auto"/>
        <w:ind w:left="1470"/>
        <w:rPr>
          <w:rFonts w:ascii="宋体" w:hAnsi="宋体" w:cs="Arial"/>
          <w:sz w:val="24"/>
          <w:szCs w:val="24"/>
        </w:rPr>
      </w:pPr>
      <w:r>
        <w:rPr>
          <w:rFonts w:ascii="宋体" w:hAnsi="宋体" w:cs="Arial"/>
          <w:sz w:val="24"/>
          <w:szCs w:val="24"/>
        </w:rPr>
        <w:t>董事会秘书负责组织和协调公司信息披露事务, 汇集公司应予披露的信息并报告董事会, 持续关注媒体对公司的报道并主动求证报道的真实情况。</w:t>
      </w:r>
    </w:p>
    <w:p w14:paraId="2D9C4C31">
      <w:pPr>
        <w:pStyle w:val="4"/>
        <w:spacing w:line="288" w:lineRule="auto"/>
        <w:rPr>
          <w:rFonts w:ascii="宋体" w:hAnsi="宋体" w:cs="Arial"/>
          <w:sz w:val="24"/>
          <w:szCs w:val="24"/>
        </w:rPr>
      </w:pPr>
    </w:p>
    <w:p w14:paraId="0E1AC05F">
      <w:pPr>
        <w:pStyle w:val="4"/>
        <w:spacing w:line="288" w:lineRule="auto"/>
        <w:ind w:left="1470"/>
        <w:rPr>
          <w:rFonts w:ascii="宋体" w:hAnsi="宋体" w:cs="Arial"/>
          <w:sz w:val="24"/>
          <w:szCs w:val="24"/>
        </w:rPr>
      </w:pPr>
      <w:r>
        <w:rPr>
          <w:rFonts w:ascii="宋体" w:hAnsi="宋体" w:cs="Arial"/>
          <w:sz w:val="24"/>
          <w:szCs w:val="24"/>
        </w:rPr>
        <w:t>董事会秘书有权参加股东会、董事会会议、</w:t>
      </w:r>
      <w:r>
        <w:rPr>
          <w:rFonts w:hint="eastAsia" w:ascii="宋体" w:hAnsi="宋体" w:cs="Arial"/>
          <w:sz w:val="24"/>
          <w:szCs w:val="24"/>
        </w:rPr>
        <w:t>审计委员会</w:t>
      </w:r>
      <w:r>
        <w:rPr>
          <w:rFonts w:ascii="宋体" w:hAnsi="宋体" w:cs="Arial"/>
          <w:sz w:val="24"/>
          <w:szCs w:val="24"/>
        </w:rPr>
        <w:t>会议和高级管理人员相关会议, 有权了解公司的财务和经营情况, 查阅涉及信息披露事宜的所有文件。</w:t>
      </w:r>
    </w:p>
    <w:p w14:paraId="6E5E68A0">
      <w:pPr>
        <w:spacing w:line="288" w:lineRule="auto"/>
        <w:ind w:left="840"/>
        <w:rPr>
          <w:rFonts w:ascii="宋体" w:hAnsi="宋体" w:cs="Arial"/>
          <w:sz w:val="24"/>
        </w:rPr>
      </w:pPr>
    </w:p>
    <w:p w14:paraId="50F49FD3">
      <w:pPr>
        <w:pStyle w:val="4"/>
        <w:spacing w:line="288" w:lineRule="auto"/>
        <w:ind w:left="1470"/>
        <w:rPr>
          <w:rFonts w:ascii="宋体" w:hAnsi="宋体" w:cs="Arial"/>
          <w:color w:val="auto"/>
          <w:sz w:val="24"/>
          <w:szCs w:val="24"/>
        </w:rPr>
      </w:pPr>
      <w:r>
        <w:rPr>
          <w:rFonts w:ascii="宋体" w:hAnsi="宋体" w:cs="Arial"/>
          <w:color w:val="auto"/>
          <w:sz w:val="24"/>
          <w:szCs w:val="24"/>
        </w:rPr>
        <w:t>董事会秘书负责协调公司与投资者关系, 接待投资者来访、回答投资者咨询、向投资者提供公司披露的资料。</w:t>
      </w:r>
    </w:p>
    <w:p w14:paraId="40D32859">
      <w:pPr>
        <w:spacing w:line="288" w:lineRule="auto"/>
        <w:ind w:left="840"/>
        <w:rPr>
          <w:rFonts w:ascii="宋体" w:hAnsi="宋体" w:cs="Arial"/>
          <w:sz w:val="24"/>
        </w:rPr>
      </w:pPr>
    </w:p>
    <w:p w14:paraId="75629EFE">
      <w:pPr>
        <w:pStyle w:val="4"/>
        <w:spacing w:line="288" w:lineRule="auto"/>
        <w:ind w:left="1470"/>
        <w:rPr>
          <w:rFonts w:ascii="宋体" w:hAnsi="宋体" w:cs="Arial"/>
          <w:color w:val="auto"/>
          <w:sz w:val="24"/>
          <w:szCs w:val="24"/>
        </w:rPr>
      </w:pPr>
      <w:r>
        <w:rPr>
          <w:rFonts w:ascii="宋体" w:hAnsi="宋体" w:cs="Arial"/>
          <w:color w:val="auto"/>
          <w:sz w:val="24"/>
          <w:szCs w:val="24"/>
        </w:rPr>
        <w:t>董事会秘书负责与公司信息披露有关的保密工作, 制订保密措施, 促使公司董事会全体成员及相关知情人在有关信息正式披露前保守秘密, 并在内幕信息泄露时, 及时采取补救措施加以解释和澄清, 并报告深圳证券交易所和中国证监会。</w:t>
      </w:r>
    </w:p>
    <w:p w14:paraId="2FC2E3FD">
      <w:pPr>
        <w:pStyle w:val="4"/>
        <w:spacing w:line="288" w:lineRule="auto"/>
        <w:rPr>
          <w:rFonts w:ascii="宋体" w:hAnsi="宋体" w:cs="Arial"/>
          <w:color w:val="auto"/>
          <w:sz w:val="24"/>
          <w:szCs w:val="24"/>
        </w:rPr>
      </w:pPr>
    </w:p>
    <w:p w14:paraId="601D28A1">
      <w:pPr>
        <w:numPr>
          <w:ilvl w:val="0"/>
          <w:numId w:val="1"/>
        </w:numPr>
        <w:tabs>
          <w:tab w:val="left" w:pos="1470"/>
          <w:tab w:val="left" w:pos="2340"/>
          <w:tab w:val="clear" w:pos="0"/>
        </w:tabs>
        <w:spacing w:line="288" w:lineRule="auto"/>
        <w:ind w:left="1470" w:hanging="1470"/>
        <w:rPr>
          <w:rFonts w:ascii="宋体" w:hAnsi="宋体" w:cs="Arial"/>
          <w:sz w:val="24"/>
        </w:rPr>
      </w:pPr>
      <w:r>
        <w:rPr>
          <w:rFonts w:ascii="宋体" w:hAnsi="宋体" w:cs="Arial"/>
          <w:sz w:val="24"/>
        </w:rPr>
        <w:t>证券事务代表协助董事会秘书履行信息披露事务。</w:t>
      </w:r>
    </w:p>
    <w:p w14:paraId="2B355A8B">
      <w:pPr>
        <w:pStyle w:val="4"/>
        <w:spacing w:line="288" w:lineRule="auto"/>
        <w:rPr>
          <w:rFonts w:ascii="宋体" w:hAnsi="宋体" w:cs="Arial"/>
          <w:color w:val="auto"/>
          <w:sz w:val="24"/>
          <w:szCs w:val="24"/>
        </w:rPr>
      </w:pPr>
    </w:p>
    <w:p w14:paraId="620167E0">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公司应当为董事会秘书履行职责提供便利条件, 董事、高级管理人员及公司有关人员应当支持、配合董事会秘书的工作。</w:t>
      </w:r>
    </w:p>
    <w:p w14:paraId="4B44D334">
      <w:pPr>
        <w:autoSpaceDE w:val="0"/>
        <w:autoSpaceDN w:val="0"/>
        <w:adjustRightInd w:val="0"/>
        <w:spacing w:line="288" w:lineRule="auto"/>
        <w:jc w:val="left"/>
        <w:rPr>
          <w:rFonts w:ascii="宋体" w:hAnsi="宋体" w:cs="Arial"/>
          <w:kern w:val="0"/>
          <w:sz w:val="24"/>
        </w:rPr>
      </w:pPr>
    </w:p>
    <w:p w14:paraId="0C5AB538">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公司董事会秘书不能履行职责时, 由证券事务代表履行董事会秘书的职责。在此期间并不当然免除董事会秘书对公司信息披露事务所负有的责任。</w:t>
      </w:r>
    </w:p>
    <w:p w14:paraId="793B5FB8">
      <w:pPr>
        <w:pStyle w:val="21"/>
        <w:ind w:firstLine="480"/>
        <w:rPr>
          <w:rFonts w:ascii="宋体" w:hAnsi="宋体" w:cs="Arial"/>
          <w:sz w:val="24"/>
        </w:rPr>
      </w:pPr>
    </w:p>
    <w:p w14:paraId="2160BC63">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董事会秘书应当定期对公司董事、高级管理人员以及其他负有信息披露职责的人员开展信息披露制度方面的相关培训, 将信息披露制度方面的相关内容通报给实际控制人、控股股东、持股 5%以上的股东。</w:t>
      </w:r>
    </w:p>
    <w:p w14:paraId="0B61AE21">
      <w:pPr>
        <w:pStyle w:val="2"/>
        <w:spacing w:line="300" w:lineRule="auto"/>
        <w:jc w:val="center"/>
        <w:rPr>
          <w:rFonts w:ascii="宋体" w:hAnsi="宋体" w:cs="Arial"/>
          <w:b/>
          <w:sz w:val="24"/>
          <w:szCs w:val="24"/>
        </w:rPr>
      </w:pPr>
      <w:r>
        <w:rPr>
          <w:rFonts w:ascii="宋体" w:hAnsi="宋体" w:cs="Arial"/>
          <w:b/>
          <w:sz w:val="24"/>
          <w:szCs w:val="24"/>
        </w:rPr>
        <w:t>第八章  档案管理</w:t>
      </w:r>
    </w:p>
    <w:p w14:paraId="70AB8759">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公司对外信息披露的文件(包括定期报告和临时报告)档案管理工作由董事会秘书办公室负责管理。股东会文件、董事会文件、信息披露文件分类专卷存档保管。</w:t>
      </w:r>
    </w:p>
    <w:p w14:paraId="1AAD7D28">
      <w:pPr>
        <w:spacing w:line="288" w:lineRule="auto"/>
        <w:ind w:left="840"/>
        <w:rPr>
          <w:rFonts w:ascii="宋体" w:hAnsi="宋体" w:cs="Arial"/>
          <w:sz w:val="24"/>
        </w:rPr>
      </w:pPr>
    </w:p>
    <w:p w14:paraId="03717636">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公司董事、高级管理人员履行信息披露职责的相关文件和资料, 董事会秘书办公室应当予以妥善保管。</w:t>
      </w:r>
      <w:bookmarkStart w:id="7" w:name="_GoBack"/>
      <w:bookmarkEnd w:id="7"/>
    </w:p>
    <w:p w14:paraId="1079B905">
      <w:pPr>
        <w:spacing w:line="288" w:lineRule="auto"/>
        <w:rPr>
          <w:rFonts w:ascii="宋体" w:hAnsi="宋体" w:cs="Arial"/>
          <w:sz w:val="24"/>
        </w:rPr>
      </w:pPr>
    </w:p>
    <w:p w14:paraId="2EEA5EE6">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董事会</w:t>
      </w:r>
      <w:r>
        <w:rPr>
          <w:rFonts w:hint="eastAsia" w:ascii="宋体" w:hAnsi="宋体" w:cs="Arial"/>
          <w:sz w:val="24"/>
          <w:lang w:val="en-US" w:eastAsia="zh-CN"/>
        </w:rPr>
        <w:t>秘书</w:t>
      </w:r>
      <w:r>
        <w:rPr>
          <w:rFonts w:ascii="宋体" w:hAnsi="宋体" w:cs="Arial"/>
          <w:sz w:val="24"/>
        </w:rPr>
        <w:t>办公室应指派专人负责档案管理事务。</w:t>
      </w:r>
    </w:p>
    <w:p w14:paraId="4C06FAF2">
      <w:pPr>
        <w:pStyle w:val="2"/>
        <w:spacing w:line="300" w:lineRule="auto"/>
        <w:jc w:val="center"/>
        <w:rPr>
          <w:rFonts w:ascii="宋体" w:hAnsi="宋体" w:cs="Arial"/>
          <w:b/>
          <w:sz w:val="24"/>
          <w:szCs w:val="24"/>
        </w:rPr>
      </w:pPr>
      <w:r>
        <w:rPr>
          <w:rFonts w:ascii="宋体" w:hAnsi="宋体" w:cs="Arial"/>
          <w:b/>
          <w:sz w:val="24"/>
          <w:szCs w:val="24"/>
        </w:rPr>
        <w:t>第九章  保密措施</w:t>
      </w:r>
    </w:p>
    <w:p w14:paraId="0EC99B78">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公司董事、高级管理人员及其他因工作关系涉及到应披露信息的工作人员, 负有保密义务。公司可根据实际情况要求有关知情人员签署保密协议。</w:t>
      </w:r>
    </w:p>
    <w:p w14:paraId="62828614">
      <w:pPr>
        <w:spacing w:line="288" w:lineRule="auto"/>
        <w:ind w:firstLine="480" w:firstLineChars="200"/>
        <w:rPr>
          <w:rFonts w:ascii="宋体" w:hAnsi="宋体" w:cs="Arial"/>
          <w:sz w:val="24"/>
        </w:rPr>
      </w:pPr>
    </w:p>
    <w:p w14:paraId="32D9CAF1">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公司董事会应采取必要的措施, 在信息公开披露之前, 将信息知情者控制在最小范围内。对能影响公司股票升跌的信息, 在未公开披露前, 公司部门与个人一律不得对外公开宣传。</w:t>
      </w:r>
    </w:p>
    <w:p w14:paraId="0F17AE9C">
      <w:pPr>
        <w:tabs>
          <w:tab w:val="left" w:pos="1470"/>
        </w:tabs>
        <w:spacing w:line="288" w:lineRule="auto"/>
        <w:rPr>
          <w:rFonts w:ascii="宋体" w:hAnsi="宋体" w:cs="Arial"/>
          <w:sz w:val="24"/>
        </w:rPr>
      </w:pPr>
    </w:p>
    <w:p w14:paraId="2F4D7EFF">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董事长、总经理作为公司保密工作的第一责任人, 副总经理及其他高级管理人员作为分管业务范围保密工作的第一责任人, 各部门和下属公司负责人作为各部门、下属公司保密工作第一责任人。各层次的保密工作第一责任人应当与公司董事会签署责任书。</w:t>
      </w:r>
    </w:p>
    <w:p w14:paraId="0E08A80A">
      <w:pPr>
        <w:tabs>
          <w:tab w:val="left" w:pos="1740"/>
        </w:tabs>
        <w:spacing w:line="288" w:lineRule="auto"/>
        <w:rPr>
          <w:rFonts w:ascii="宋体" w:hAnsi="宋体" w:cs="Arial"/>
          <w:sz w:val="24"/>
        </w:rPr>
      </w:pPr>
    </w:p>
    <w:p w14:paraId="67082627">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未经董事会批准, 擅自在公开场合、新闻媒体披露重大信息、经济指标等情况, 公司董事会将视情节轻重或对公司造成的损失和影响程度, 追究有关当事人的直接责任。违反有关法律法规的按有关法律法规处理。</w:t>
      </w:r>
    </w:p>
    <w:p w14:paraId="1AE7D8C0">
      <w:pPr>
        <w:tabs>
          <w:tab w:val="left" w:pos="1920"/>
        </w:tabs>
        <w:spacing w:line="288" w:lineRule="auto"/>
        <w:rPr>
          <w:rFonts w:ascii="宋体" w:hAnsi="宋体" w:cs="Arial"/>
          <w:sz w:val="24"/>
        </w:rPr>
      </w:pPr>
    </w:p>
    <w:p w14:paraId="422E2EF5">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公司聘请的顾问、中介机构工作人员、关联人等若擅自披露公司信息给公司造成损失的, 公司保留追究其责任的权利。</w:t>
      </w:r>
    </w:p>
    <w:p w14:paraId="4956DFB1">
      <w:pPr>
        <w:pStyle w:val="21"/>
        <w:ind w:firstLine="480"/>
        <w:rPr>
          <w:rFonts w:ascii="宋体" w:hAnsi="宋体" w:cs="Arial"/>
          <w:sz w:val="24"/>
        </w:rPr>
      </w:pPr>
    </w:p>
    <w:p w14:paraId="3EB1E4B0">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公司董事会办公室对控股股东、实际控制人、董事、高级管理人员、其他核心人员以及其他相关信息披露义务人的网站、博客、微博、微信等媒体发布信息进行必要的关注、记录和引导, 以防止泄露公司未公开重大信息。</w:t>
      </w:r>
    </w:p>
    <w:p w14:paraId="6B1E9EF8">
      <w:pPr>
        <w:pStyle w:val="2"/>
        <w:spacing w:line="300" w:lineRule="auto"/>
        <w:jc w:val="center"/>
        <w:rPr>
          <w:rFonts w:ascii="宋体" w:hAnsi="宋体" w:cs="Arial"/>
          <w:b/>
          <w:sz w:val="24"/>
          <w:szCs w:val="24"/>
        </w:rPr>
      </w:pPr>
      <w:r>
        <w:rPr>
          <w:rFonts w:ascii="宋体" w:hAnsi="宋体" w:cs="Arial"/>
          <w:b/>
          <w:sz w:val="24"/>
          <w:szCs w:val="24"/>
        </w:rPr>
        <w:t>第十章  财务管理和会计核算的监督</w:t>
      </w:r>
    </w:p>
    <w:p w14:paraId="11A24ABA">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公司实行内部审计制度, 配备专职审计人员, 对公司财务收支和经济活动进行内部审计监督。</w:t>
      </w:r>
    </w:p>
    <w:p w14:paraId="4FBD8928">
      <w:pPr>
        <w:spacing w:line="288" w:lineRule="auto"/>
        <w:rPr>
          <w:rFonts w:ascii="宋体" w:hAnsi="宋体" w:cs="Arial"/>
          <w:sz w:val="24"/>
        </w:rPr>
      </w:pPr>
    </w:p>
    <w:p w14:paraId="5E65F8E6">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公司内部审计机构对公司财务管理和会计核算内部控制制度的建立和执行情况进行定期或不定期的监督, 并定期向董事会报告监督情况。</w:t>
      </w:r>
    </w:p>
    <w:p w14:paraId="2C48BB42">
      <w:pPr>
        <w:spacing w:line="288" w:lineRule="auto"/>
        <w:rPr>
          <w:rFonts w:ascii="宋体" w:hAnsi="宋体" w:cs="Arial"/>
          <w:sz w:val="24"/>
        </w:rPr>
      </w:pPr>
    </w:p>
    <w:p w14:paraId="0CE1B462">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公司财务信息披露前, 应执行公司财务管理和会计核算的内部控制制度。</w:t>
      </w:r>
    </w:p>
    <w:p w14:paraId="18C4C9A9">
      <w:pPr>
        <w:autoSpaceDE w:val="0"/>
        <w:autoSpaceDN w:val="0"/>
        <w:adjustRightInd w:val="0"/>
        <w:spacing w:line="288" w:lineRule="auto"/>
        <w:jc w:val="left"/>
        <w:rPr>
          <w:rFonts w:ascii="宋体" w:hAnsi="宋体" w:cs="Arial"/>
          <w:sz w:val="24"/>
        </w:rPr>
      </w:pPr>
    </w:p>
    <w:p w14:paraId="0EC20EBA">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公司年度报告中的财务会计报告应当经</w:t>
      </w:r>
      <w:r>
        <w:rPr>
          <w:rFonts w:hint="eastAsia" w:ascii="宋体" w:hAnsi="宋体" w:cs="Arial"/>
          <w:sz w:val="24"/>
        </w:rPr>
        <w:t>符合《证券法》规定</w:t>
      </w:r>
      <w:r>
        <w:rPr>
          <w:rFonts w:ascii="宋体" w:hAnsi="宋体" w:cs="Arial"/>
          <w:sz w:val="24"/>
        </w:rPr>
        <w:t>的会计师事务所审计。</w:t>
      </w:r>
    </w:p>
    <w:p w14:paraId="4722926B">
      <w:pPr>
        <w:pStyle w:val="2"/>
        <w:spacing w:line="300" w:lineRule="auto"/>
        <w:jc w:val="center"/>
        <w:rPr>
          <w:rFonts w:ascii="宋体" w:hAnsi="宋体" w:cs="Arial"/>
          <w:b/>
          <w:sz w:val="24"/>
          <w:szCs w:val="24"/>
        </w:rPr>
      </w:pPr>
      <w:r>
        <w:rPr>
          <w:rFonts w:ascii="宋体" w:hAnsi="宋体" w:cs="Arial"/>
          <w:b/>
          <w:sz w:val="24"/>
          <w:szCs w:val="24"/>
        </w:rPr>
        <w:t>第十一章  投资者关系管理</w:t>
      </w:r>
    </w:p>
    <w:p w14:paraId="524DAD93">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明确董事会秘书作为投资者关系活动的负责人, 未经董事会秘书同意, 任何人不得进行投资者关系活动。</w:t>
      </w:r>
    </w:p>
    <w:p w14:paraId="21896B94">
      <w:pPr>
        <w:spacing w:line="288" w:lineRule="auto"/>
        <w:rPr>
          <w:rFonts w:ascii="宋体" w:hAnsi="宋体" w:cs="Arial"/>
          <w:b/>
          <w:sz w:val="24"/>
        </w:rPr>
      </w:pPr>
    </w:p>
    <w:p w14:paraId="6E89FBD6">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投资者关系活动应建立完备的档案, 投资者关系活动档案至少应当包括投资者关系活动参与人员、时间、地点、内容等。</w:t>
      </w:r>
    </w:p>
    <w:p w14:paraId="1246BD27">
      <w:pPr>
        <w:spacing w:line="288" w:lineRule="auto"/>
        <w:rPr>
          <w:rFonts w:ascii="宋体" w:hAnsi="宋体" w:cs="Arial"/>
          <w:b/>
          <w:sz w:val="24"/>
        </w:rPr>
      </w:pPr>
    </w:p>
    <w:p w14:paraId="58BE95AF">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公司通过业绩说明会、分析师会议、路演、接受投资者调研等形式就公司的经营情况、财务状况及其他事件与任何机构和个人进行沟通的, 不得提供内幕信息。</w:t>
      </w:r>
    </w:p>
    <w:p w14:paraId="1AC2AAD1">
      <w:pPr>
        <w:spacing w:line="288" w:lineRule="auto"/>
        <w:ind w:left="840"/>
        <w:rPr>
          <w:rFonts w:ascii="宋体" w:hAnsi="宋体" w:cs="Arial"/>
          <w:sz w:val="24"/>
        </w:rPr>
      </w:pPr>
    </w:p>
    <w:p w14:paraId="018842EE">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公司应当向其聘用的</w:t>
      </w:r>
      <w:r>
        <w:rPr>
          <w:rFonts w:hint="eastAsia" w:ascii="宋体" w:hAnsi="宋体" w:cs="Arial"/>
          <w:sz w:val="24"/>
        </w:rPr>
        <w:t>证券公司</w:t>
      </w:r>
      <w:r>
        <w:rPr>
          <w:rFonts w:ascii="宋体" w:hAnsi="宋体" w:cs="Arial"/>
          <w:sz w:val="24"/>
        </w:rPr>
        <w:t>、证券服务机构提供与执业相关的所有资料, 并确保资料的真实、准确、完整, 不得拒绝、隐匿、谎报。</w:t>
      </w:r>
    </w:p>
    <w:p w14:paraId="0DDEDF68">
      <w:pPr>
        <w:pStyle w:val="2"/>
        <w:spacing w:line="300" w:lineRule="auto"/>
        <w:jc w:val="center"/>
        <w:rPr>
          <w:rFonts w:ascii="宋体" w:hAnsi="宋体" w:cs="Arial"/>
          <w:b/>
          <w:sz w:val="24"/>
          <w:szCs w:val="24"/>
        </w:rPr>
      </w:pPr>
      <w:r>
        <w:rPr>
          <w:rFonts w:ascii="宋体" w:hAnsi="宋体" w:cs="Arial"/>
          <w:b/>
          <w:sz w:val="24"/>
          <w:szCs w:val="24"/>
        </w:rPr>
        <w:t>第十二章  处罚</w:t>
      </w:r>
    </w:p>
    <w:p w14:paraId="565BDA39">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凡违反本制度擅自披露信息的, 公司将对相关责任人给予行政或经济处分, 且有权视情形追究相关责任人的法律责任。</w:t>
      </w:r>
    </w:p>
    <w:p w14:paraId="4A5060FF">
      <w:pPr>
        <w:spacing w:line="288" w:lineRule="auto"/>
        <w:rPr>
          <w:rFonts w:ascii="宋体" w:hAnsi="宋体" w:cs="Arial"/>
          <w:b/>
          <w:sz w:val="24"/>
        </w:rPr>
      </w:pPr>
    </w:p>
    <w:p w14:paraId="174DB1E6">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未按本制度披露信息给公司造成损失的, 公司将对相关责任人给予行政或经济处分, 且有权视情形追究相关责任人的法律责任。</w:t>
      </w:r>
    </w:p>
    <w:p w14:paraId="21334A41">
      <w:pPr>
        <w:pStyle w:val="2"/>
        <w:spacing w:line="300" w:lineRule="auto"/>
        <w:jc w:val="center"/>
        <w:rPr>
          <w:rFonts w:ascii="宋体" w:hAnsi="宋体" w:cs="Arial"/>
          <w:b/>
          <w:sz w:val="24"/>
          <w:szCs w:val="24"/>
        </w:rPr>
      </w:pPr>
      <w:r>
        <w:rPr>
          <w:rFonts w:ascii="宋体" w:hAnsi="宋体" w:cs="Arial"/>
          <w:b/>
          <w:sz w:val="24"/>
          <w:szCs w:val="24"/>
        </w:rPr>
        <w:t>第十三章  附则</w:t>
      </w:r>
    </w:p>
    <w:p w14:paraId="49505326">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本制度所称相关信息披露义务人，是指董事、高级管理人员、股东或者存托凭证持有人、实际控制人，收购人及其他权益变动主体，重大资产重组、再融资、重大交易、破产事项等有关各方，为前述主体提供服务的中介机构及其相关人员，以及法律法规规定的对信息披露承担相关义务的其他主体。</w:t>
      </w:r>
    </w:p>
    <w:p w14:paraId="08D15836">
      <w:pPr>
        <w:tabs>
          <w:tab w:val="left" w:pos="1470"/>
        </w:tabs>
        <w:spacing w:line="288" w:lineRule="auto"/>
        <w:ind w:left="1470"/>
        <w:rPr>
          <w:rFonts w:ascii="宋体" w:hAnsi="宋体" w:cs="Arial"/>
          <w:sz w:val="24"/>
        </w:rPr>
      </w:pPr>
    </w:p>
    <w:p w14:paraId="10C5F759">
      <w:pPr>
        <w:numPr>
          <w:ilvl w:val="0"/>
          <w:numId w:val="1"/>
        </w:numPr>
        <w:tabs>
          <w:tab w:val="left" w:pos="1470"/>
          <w:tab w:val="clear" w:pos="0"/>
        </w:tabs>
        <w:spacing w:line="288" w:lineRule="auto"/>
        <w:ind w:left="1470" w:hanging="1470"/>
        <w:rPr>
          <w:rFonts w:ascii="宋体" w:hAnsi="宋体" w:cs="Arial"/>
          <w:sz w:val="24"/>
        </w:rPr>
      </w:pPr>
      <w:r>
        <w:rPr>
          <w:rFonts w:hint="eastAsia" w:ascii="宋体" w:hAnsi="宋体" w:cs="Arial"/>
          <w:sz w:val="24"/>
        </w:rPr>
        <w:t>本制度未尽事宜, 按国家有关法律、法规和规范性文件及公司章程的规定执行;</w:t>
      </w:r>
      <w:r>
        <w:rPr>
          <w:rFonts w:ascii="宋体" w:hAnsi="宋体" w:cs="Arial"/>
          <w:sz w:val="24"/>
        </w:rPr>
        <w:t>本制度与有关法律、法规、规范性文件、《上市规则》和公司章程有冲突时, 按有关法律、法规、规范性文件、《上市规则》和公司章程执行。</w:t>
      </w:r>
    </w:p>
    <w:p w14:paraId="5012F9CD">
      <w:pPr>
        <w:spacing w:line="288" w:lineRule="auto"/>
        <w:rPr>
          <w:rFonts w:ascii="宋体" w:hAnsi="宋体" w:cs="Arial"/>
          <w:sz w:val="24"/>
        </w:rPr>
      </w:pPr>
    </w:p>
    <w:p w14:paraId="43D345A5">
      <w:pPr>
        <w:numPr>
          <w:ilvl w:val="0"/>
          <w:numId w:val="1"/>
        </w:numPr>
        <w:tabs>
          <w:tab w:val="left" w:pos="1470"/>
          <w:tab w:val="clear" w:pos="0"/>
        </w:tabs>
        <w:spacing w:line="288" w:lineRule="auto"/>
        <w:ind w:left="1470" w:hanging="1470"/>
        <w:rPr>
          <w:rFonts w:ascii="宋体" w:hAnsi="宋体" w:cs="Arial"/>
          <w:sz w:val="24"/>
        </w:rPr>
      </w:pPr>
      <w:r>
        <w:rPr>
          <w:rFonts w:ascii="宋体" w:hAnsi="宋体" w:cs="Arial"/>
          <w:sz w:val="24"/>
        </w:rPr>
        <w:t>本制度自公司董事会批准之日起生效。</w:t>
      </w:r>
    </w:p>
    <w:p w14:paraId="0B855634">
      <w:pPr>
        <w:spacing w:line="288" w:lineRule="auto"/>
        <w:rPr>
          <w:rFonts w:ascii="宋体" w:hAnsi="宋体" w:cs="Arial"/>
          <w:sz w:val="24"/>
        </w:rPr>
      </w:pPr>
    </w:p>
    <w:p w14:paraId="4B48E4C1">
      <w:pPr>
        <w:numPr>
          <w:ilvl w:val="0"/>
          <w:numId w:val="1"/>
        </w:numPr>
        <w:tabs>
          <w:tab w:val="left" w:pos="1470"/>
          <w:tab w:val="clear" w:pos="0"/>
        </w:tabs>
        <w:spacing w:line="288" w:lineRule="auto"/>
        <w:ind w:left="1470" w:hanging="1470" w:firstLineChars="0"/>
        <w:rPr>
          <w:rFonts w:ascii="宋体" w:hAnsi="宋体" w:cs="Arial"/>
          <w:sz w:val="24"/>
        </w:rPr>
      </w:pPr>
      <w:r>
        <w:rPr>
          <w:rFonts w:ascii="宋体" w:hAnsi="宋体" w:cs="Arial"/>
          <w:sz w:val="24"/>
        </w:rPr>
        <w:t>本制度由公司董事会负责解释和修订。</w:t>
      </w:r>
    </w:p>
    <w:p w14:paraId="01D932D8">
      <w:pPr>
        <w:tabs>
          <w:tab w:val="left" w:pos="6120"/>
          <w:tab w:val="left" w:pos="8280"/>
        </w:tabs>
        <w:wordWrap w:val="0"/>
        <w:spacing w:line="360" w:lineRule="auto"/>
        <w:ind w:right="26" w:firstLine="4319" w:firstLineChars="1878"/>
        <w:jc w:val="right"/>
        <w:rPr>
          <w:rFonts w:ascii="Arial" w:hAnsi="Arial"/>
          <w:sz w:val="23"/>
          <w:szCs w:val="23"/>
        </w:rPr>
      </w:pPr>
    </w:p>
    <w:sectPr>
      <w:headerReference r:id="rId3" w:type="default"/>
      <w:footerReference r:id="rId4" w:type="default"/>
      <w:pgSz w:w="11906" w:h="16838"/>
      <w:pgMar w:top="1365" w:right="1418" w:bottom="1701" w:left="1418" w:header="6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9C1E">
    <w:pPr>
      <w:pStyle w:val="6"/>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28</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9C2BC">
    <w:pPr>
      <w:pStyle w:val="7"/>
      <w:pBdr>
        <w:bottom w:val="single" w:color="auto" w:sz="4" w:space="0"/>
      </w:pBdr>
      <w:jc w:val="both"/>
    </w:pPr>
    <w:r>
      <w:drawing>
        <wp:inline distT="0" distB="0" distL="0" distR="0">
          <wp:extent cx="381000" cy="403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1000" cy="403860"/>
                  </a:xfrm>
                  <a:prstGeom prst="rect">
                    <a:avLst/>
                  </a:prstGeom>
                  <a:noFill/>
                  <a:ln>
                    <a:noFill/>
                  </a:ln>
                </pic:spPr>
              </pic:pic>
            </a:graphicData>
          </a:graphic>
        </wp:inline>
      </w:drawing>
    </w:r>
    <w:r>
      <w:rPr>
        <w:rFonts w:hint="eastAsia"/>
      </w:rPr>
      <w:t xml:space="preserve">                       永兴特种材料科技股份有限公司信息披露事务管理制度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03494"/>
    <w:multiLevelType w:val="multilevel"/>
    <w:tmpl w:val="02203494"/>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84F7BB2"/>
    <w:multiLevelType w:val="multilevel"/>
    <w:tmpl w:val="084F7BB2"/>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2">
    <w:nsid w:val="0A62129A"/>
    <w:multiLevelType w:val="multilevel"/>
    <w:tmpl w:val="0A62129A"/>
    <w:lvl w:ilvl="0" w:tentative="0">
      <w:start w:val="1"/>
      <w:numFmt w:val="chineseCountingThousand"/>
      <w:lvlText w:val="第%1条"/>
      <w:lvlJc w:val="left"/>
      <w:pPr>
        <w:tabs>
          <w:tab w:val="left" w:pos="0"/>
        </w:tabs>
        <w:ind w:left="0" w:firstLine="0"/>
      </w:pPr>
      <w:rPr>
        <w:rFonts w:hint="default"/>
      </w:rPr>
    </w:lvl>
    <w:lvl w:ilvl="1" w:tentative="0">
      <w:start w:val="1"/>
      <w:numFmt w:val="lowerLetter"/>
      <w:lvlText w:val="%2)"/>
      <w:lvlJc w:val="left"/>
      <w:pPr>
        <w:tabs>
          <w:tab w:val="left" w:pos="880"/>
        </w:tabs>
        <w:ind w:left="880" w:hanging="420"/>
      </w:pPr>
    </w:lvl>
    <w:lvl w:ilvl="2" w:tentative="0">
      <w:start w:val="1"/>
      <w:numFmt w:val="japaneseCounting"/>
      <w:lvlText w:val="(%3)"/>
      <w:lvlJc w:val="left"/>
      <w:pPr>
        <w:tabs>
          <w:tab w:val="left" w:pos="1345"/>
        </w:tabs>
        <w:ind w:left="1345" w:hanging="465"/>
      </w:pPr>
      <w:rPr>
        <w:rFonts w:hint="default"/>
        <w:sz w:val="23"/>
        <w:szCs w:val="23"/>
      </w:rPr>
    </w:lvl>
    <w:lvl w:ilvl="3" w:tentative="0">
      <w:start w:val="1"/>
      <w:numFmt w:val="decimal"/>
      <w:lvlText w:val="%4."/>
      <w:lvlJc w:val="left"/>
      <w:pPr>
        <w:tabs>
          <w:tab w:val="left" w:pos="1720"/>
        </w:tabs>
        <w:ind w:left="1720" w:hanging="420"/>
      </w:pPr>
    </w:lvl>
    <w:lvl w:ilvl="4" w:tentative="0">
      <w:start w:val="1"/>
      <w:numFmt w:val="lowerLetter"/>
      <w:lvlText w:val="%5)"/>
      <w:lvlJc w:val="left"/>
      <w:pPr>
        <w:tabs>
          <w:tab w:val="left" w:pos="2140"/>
        </w:tabs>
        <w:ind w:left="2140" w:hanging="420"/>
      </w:pPr>
    </w:lvl>
    <w:lvl w:ilvl="5" w:tentative="0">
      <w:start w:val="1"/>
      <w:numFmt w:val="lowerRoman"/>
      <w:lvlText w:val="%6."/>
      <w:lvlJc w:val="right"/>
      <w:pPr>
        <w:tabs>
          <w:tab w:val="left" w:pos="2560"/>
        </w:tabs>
        <w:ind w:left="2560" w:hanging="420"/>
      </w:pPr>
    </w:lvl>
    <w:lvl w:ilvl="6" w:tentative="0">
      <w:start w:val="1"/>
      <w:numFmt w:val="decimal"/>
      <w:lvlText w:val="%7."/>
      <w:lvlJc w:val="left"/>
      <w:pPr>
        <w:tabs>
          <w:tab w:val="left" w:pos="2980"/>
        </w:tabs>
        <w:ind w:left="2980" w:hanging="420"/>
      </w:pPr>
    </w:lvl>
    <w:lvl w:ilvl="7" w:tentative="0">
      <w:start w:val="1"/>
      <w:numFmt w:val="lowerLetter"/>
      <w:lvlText w:val="%8)"/>
      <w:lvlJc w:val="left"/>
      <w:pPr>
        <w:tabs>
          <w:tab w:val="left" w:pos="3400"/>
        </w:tabs>
        <w:ind w:left="3400" w:hanging="420"/>
      </w:pPr>
    </w:lvl>
    <w:lvl w:ilvl="8" w:tentative="0">
      <w:start w:val="1"/>
      <w:numFmt w:val="lowerRoman"/>
      <w:lvlText w:val="%9."/>
      <w:lvlJc w:val="right"/>
      <w:pPr>
        <w:tabs>
          <w:tab w:val="left" w:pos="3820"/>
        </w:tabs>
        <w:ind w:left="3820" w:hanging="420"/>
      </w:pPr>
    </w:lvl>
  </w:abstractNum>
  <w:abstractNum w:abstractNumId="3">
    <w:nsid w:val="0AC84788"/>
    <w:multiLevelType w:val="multilevel"/>
    <w:tmpl w:val="0AC84788"/>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4">
    <w:nsid w:val="0B915DD6"/>
    <w:multiLevelType w:val="multilevel"/>
    <w:tmpl w:val="0B915DD6"/>
    <w:lvl w:ilvl="0" w:tentative="0">
      <w:start w:val="1"/>
      <w:numFmt w:val="japaneseCounting"/>
      <w:lvlText w:val="(%1)"/>
      <w:lvlJc w:val="left"/>
      <w:pPr>
        <w:tabs>
          <w:tab w:val="left" w:pos="2130"/>
        </w:tabs>
        <w:ind w:left="2130" w:hanging="5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C7C2FF8"/>
    <w:multiLevelType w:val="multilevel"/>
    <w:tmpl w:val="0C7C2FF8"/>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6">
    <w:nsid w:val="0E5F1700"/>
    <w:multiLevelType w:val="multilevel"/>
    <w:tmpl w:val="0E5F1700"/>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A217AE"/>
    <w:multiLevelType w:val="multilevel"/>
    <w:tmpl w:val="12A217AE"/>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3706F15"/>
    <w:multiLevelType w:val="multilevel"/>
    <w:tmpl w:val="13706F15"/>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7154044"/>
    <w:multiLevelType w:val="multilevel"/>
    <w:tmpl w:val="17154044"/>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10">
    <w:nsid w:val="2B452975"/>
    <w:multiLevelType w:val="multilevel"/>
    <w:tmpl w:val="2B452975"/>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11">
    <w:nsid w:val="36C02225"/>
    <w:multiLevelType w:val="multilevel"/>
    <w:tmpl w:val="36C02225"/>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12">
    <w:nsid w:val="39BC247B"/>
    <w:multiLevelType w:val="multilevel"/>
    <w:tmpl w:val="39BC247B"/>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13">
    <w:nsid w:val="3ACF4493"/>
    <w:multiLevelType w:val="multilevel"/>
    <w:tmpl w:val="3ACF4493"/>
    <w:lvl w:ilvl="0" w:tentative="0">
      <w:start w:val="1"/>
      <w:numFmt w:val="chineseCountingThousand"/>
      <w:lvlText w:val="(%1)"/>
      <w:lvlJc w:val="left"/>
      <w:pPr>
        <w:tabs>
          <w:tab w:val="left" w:pos="0"/>
        </w:tabs>
        <w:ind w:left="0" w:firstLine="0"/>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A1338E"/>
    <w:multiLevelType w:val="multilevel"/>
    <w:tmpl w:val="3FA1338E"/>
    <w:lvl w:ilvl="0" w:tentative="0">
      <w:start w:val="1"/>
      <w:numFmt w:val="japaneseCounting"/>
      <w:lvlText w:val="(%1)"/>
      <w:lvlJc w:val="left"/>
      <w:pPr>
        <w:tabs>
          <w:tab w:val="left" w:pos="2130"/>
        </w:tabs>
        <w:ind w:left="2130" w:hanging="510"/>
      </w:pPr>
      <w:rPr>
        <w:rFonts w:hint="default"/>
      </w:rPr>
    </w:lvl>
    <w:lvl w:ilvl="1" w:tentative="0">
      <w:start w:val="1"/>
      <w:numFmt w:val="lowerLetter"/>
      <w:lvlText w:val="%2)"/>
      <w:lvlJc w:val="left"/>
      <w:pPr>
        <w:tabs>
          <w:tab w:val="left" w:pos="2460"/>
        </w:tabs>
        <w:ind w:left="2460" w:hanging="420"/>
      </w:pPr>
    </w:lvl>
    <w:lvl w:ilvl="2" w:tentative="0">
      <w:start w:val="1"/>
      <w:numFmt w:val="lowerRoman"/>
      <w:lvlText w:val="%3."/>
      <w:lvlJc w:val="right"/>
      <w:pPr>
        <w:tabs>
          <w:tab w:val="left" w:pos="2880"/>
        </w:tabs>
        <w:ind w:left="2880" w:hanging="420"/>
      </w:pPr>
    </w:lvl>
    <w:lvl w:ilvl="3" w:tentative="0">
      <w:start w:val="1"/>
      <w:numFmt w:val="decimal"/>
      <w:lvlText w:val="%4."/>
      <w:lvlJc w:val="left"/>
      <w:pPr>
        <w:tabs>
          <w:tab w:val="left" w:pos="3300"/>
        </w:tabs>
        <w:ind w:left="3300" w:hanging="420"/>
      </w:pPr>
    </w:lvl>
    <w:lvl w:ilvl="4" w:tentative="0">
      <w:start w:val="1"/>
      <w:numFmt w:val="lowerLetter"/>
      <w:lvlText w:val="%5)"/>
      <w:lvlJc w:val="left"/>
      <w:pPr>
        <w:tabs>
          <w:tab w:val="left" w:pos="3720"/>
        </w:tabs>
        <w:ind w:left="3720" w:hanging="420"/>
      </w:pPr>
    </w:lvl>
    <w:lvl w:ilvl="5" w:tentative="0">
      <w:start w:val="1"/>
      <w:numFmt w:val="lowerRoman"/>
      <w:lvlText w:val="%6."/>
      <w:lvlJc w:val="right"/>
      <w:pPr>
        <w:tabs>
          <w:tab w:val="left" w:pos="4140"/>
        </w:tabs>
        <w:ind w:left="4140" w:hanging="420"/>
      </w:pPr>
    </w:lvl>
    <w:lvl w:ilvl="6" w:tentative="0">
      <w:start w:val="1"/>
      <w:numFmt w:val="decimal"/>
      <w:lvlText w:val="%7."/>
      <w:lvlJc w:val="left"/>
      <w:pPr>
        <w:tabs>
          <w:tab w:val="left" w:pos="4560"/>
        </w:tabs>
        <w:ind w:left="4560" w:hanging="420"/>
      </w:pPr>
    </w:lvl>
    <w:lvl w:ilvl="7" w:tentative="0">
      <w:start w:val="1"/>
      <w:numFmt w:val="lowerLetter"/>
      <w:lvlText w:val="%8)"/>
      <w:lvlJc w:val="left"/>
      <w:pPr>
        <w:tabs>
          <w:tab w:val="left" w:pos="4980"/>
        </w:tabs>
        <w:ind w:left="4980" w:hanging="420"/>
      </w:pPr>
    </w:lvl>
    <w:lvl w:ilvl="8" w:tentative="0">
      <w:start w:val="1"/>
      <w:numFmt w:val="lowerRoman"/>
      <w:lvlText w:val="%9."/>
      <w:lvlJc w:val="right"/>
      <w:pPr>
        <w:tabs>
          <w:tab w:val="left" w:pos="5400"/>
        </w:tabs>
        <w:ind w:left="5400" w:hanging="420"/>
      </w:pPr>
    </w:lvl>
  </w:abstractNum>
  <w:abstractNum w:abstractNumId="15">
    <w:nsid w:val="56025DBF"/>
    <w:multiLevelType w:val="multilevel"/>
    <w:tmpl w:val="56025DBF"/>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9973949"/>
    <w:multiLevelType w:val="multilevel"/>
    <w:tmpl w:val="59973949"/>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17">
    <w:nsid w:val="665F1B07"/>
    <w:multiLevelType w:val="multilevel"/>
    <w:tmpl w:val="665F1B07"/>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18">
    <w:nsid w:val="68973DE0"/>
    <w:multiLevelType w:val="multilevel"/>
    <w:tmpl w:val="68973DE0"/>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2415"/>
        </w:tabs>
        <w:ind w:left="2415" w:hanging="420"/>
      </w:pPr>
    </w:lvl>
    <w:lvl w:ilvl="2" w:tentative="0">
      <w:start w:val="1"/>
      <w:numFmt w:val="lowerRoman"/>
      <w:lvlText w:val="%3."/>
      <w:lvlJc w:val="right"/>
      <w:pPr>
        <w:tabs>
          <w:tab w:val="left" w:pos="2835"/>
        </w:tabs>
        <w:ind w:left="2835" w:hanging="420"/>
      </w:pPr>
    </w:lvl>
    <w:lvl w:ilvl="3" w:tentative="0">
      <w:start w:val="1"/>
      <w:numFmt w:val="decimal"/>
      <w:lvlText w:val="%4."/>
      <w:lvlJc w:val="left"/>
      <w:pPr>
        <w:tabs>
          <w:tab w:val="left" w:pos="3255"/>
        </w:tabs>
        <w:ind w:left="3255" w:hanging="420"/>
      </w:pPr>
    </w:lvl>
    <w:lvl w:ilvl="4" w:tentative="0">
      <w:start w:val="1"/>
      <w:numFmt w:val="lowerLetter"/>
      <w:lvlText w:val="%5)"/>
      <w:lvlJc w:val="left"/>
      <w:pPr>
        <w:tabs>
          <w:tab w:val="left" w:pos="3675"/>
        </w:tabs>
        <w:ind w:left="3675" w:hanging="420"/>
      </w:pPr>
    </w:lvl>
    <w:lvl w:ilvl="5" w:tentative="0">
      <w:start w:val="1"/>
      <w:numFmt w:val="lowerRoman"/>
      <w:lvlText w:val="%6."/>
      <w:lvlJc w:val="right"/>
      <w:pPr>
        <w:tabs>
          <w:tab w:val="left" w:pos="4095"/>
        </w:tabs>
        <w:ind w:left="4095" w:hanging="420"/>
      </w:pPr>
    </w:lvl>
    <w:lvl w:ilvl="6" w:tentative="0">
      <w:start w:val="1"/>
      <w:numFmt w:val="decimal"/>
      <w:lvlText w:val="%7."/>
      <w:lvlJc w:val="left"/>
      <w:pPr>
        <w:tabs>
          <w:tab w:val="left" w:pos="4515"/>
        </w:tabs>
        <w:ind w:left="4515" w:hanging="420"/>
      </w:pPr>
    </w:lvl>
    <w:lvl w:ilvl="7" w:tentative="0">
      <w:start w:val="1"/>
      <w:numFmt w:val="lowerLetter"/>
      <w:lvlText w:val="%8)"/>
      <w:lvlJc w:val="left"/>
      <w:pPr>
        <w:tabs>
          <w:tab w:val="left" w:pos="4935"/>
        </w:tabs>
        <w:ind w:left="4935" w:hanging="420"/>
      </w:pPr>
    </w:lvl>
    <w:lvl w:ilvl="8" w:tentative="0">
      <w:start w:val="1"/>
      <w:numFmt w:val="lowerRoman"/>
      <w:lvlText w:val="%9."/>
      <w:lvlJc w:val="right"/>
      <w:pPr>
        <w:tabs>
          <w:tab w:val="left" w:pos="5355"/>
        </w:tabs>
        <w:ind w:left="5355" w:hanging="420"/>
      </w:pPr>
    </w:lvl>
  </w:abstractNum>
  <w:abstractNum w:abstractNumId="19">
    <w:nsid w:val="6F9740AB"/>
    <w:multiLevelType w:val="multilevel"/>
    <w:tmpl w:val="6F9740AB"/>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29A5189"/>
    <w:multiLevelType w:val="multilevel"/>
    <w:tmpl w:val="729A5189"/>
    <w:lvl w:ilvl="0" w:tentative="0">
      <w:start w:val="1"/>
      <w:numFmt w:val="chineseCountingThousand"/>
      <w:lvlText w:val="(%1)"/>
      <w:lvlJc w:val="left"/>
      <w:pPr>
        <w:tabs>
          <w:tab w:val="left" w:pos="1575"/>
        </w:tabs>
        <w:ind w:left="1575" w:firstLine="0"/>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3793C8A"/>
    <w:multiLevelType w:val="multilevel"/>
    <w:tmpl w:val="73793C8A"/>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AD1681B"/>
    <w:multiLevelType w:val="multilevel"/>
    <w:tmpl w:val="7AD1681B"/>
    <w:lvl w:ilvl="0" w:tentative="0">
      <w:start w:val="1"/>
      <w:numFmt w:val="chineseCountingThousand"/>
      <w:lvlText w:val="(%1)"/>
      <w:lvlJc w:val="left"/>
      <w:pPr>
        <w:tabs>
          <w:tab w:val="left" w:pos="1575"/>
        </w:tabs>
        <w:ind w:left="1575" w:firstLine="0"/>
      </w:pPr>
      <w:rPr>
        <w:rFonts w:hint="default"/>
        <w:sz w:val="23"/>
        <w:szCs w:val="23"/>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3"/>
  </w:num>
  <w:num w:numId="3">
    <w:abstractNumId w:val="20"/>
  </w:num>
  <w:num w:numId="4">
    <w:abstractNumId w:val="3"/>
  </w:num>
  <w:num w:numId="5">
    <w:abstractNumId w:val="6"/>
  </w:num>
  <w:num w:numId="6">
    <w:abstractNumId w:val="8"/>
  </w:num>
  <w:num w:numId="7">
    <w:abstractNumId w:val="21"/>
  </w:num>
  <w:num w:numId="8">
    <w:abstractNumId w:val="7"/>
  </w:num>
  <w:num w:numId="9">
    <w:abstractNumId w:val="15"/>
  </w:num>
  <w:num w:numId="10">
    <w:abstractNumId w:val="0"/>
  </w:num>
  <w:num w:numId="11">
    <w:abstractNumId w:val="18"/>
  </w:num>
  <w:num w:numId="12">
    <w:abstractNumId w:val="17"/>
  </w:num>
  <w:num w:numId="13">
    <w:abstractNumId w:val="9"/>
  </w:num>
  <w:num w:numId="14">
    <w:abstractNumId w:val="1"/>
  </w:num>
  <w:num w:numId="15">
    <w:abstractNumId w:val="12"/>
  </w:num>
  <w:num w:numId="16">
    <w:abstractNumId w:val="11"/>
  </w:num>
  <w:num w:numId="17">
    <w:abstractNumId w:val="16"/>
  </w:num>
  <w:num w:numId="18">
    <w:abstractNumId w:val="10"/>
  </w:num>
  <w:num w:numId="19">
    <w:abstractNumId w:val="5"/>
  </w:num>
  <w:num w:numId="20">
    <w:abstractNumId w:val="22"/>
  </w:num>
  <w:num w:numId="21">
    <w:abstractNumId w:val="19"/>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F1"/>
    <w:rsid w:val="00000E84"/>
    <w:rsid w:val="0000138F"/>
    <w:rsid w:val="0000184D"/>
    <w:rsid w:val="000144C2"/>
    <w:rsid w:val="000222D2"/>
    <w:rsid w:val="00032C35"/>
    <w:rsid w:val="00044712"/>
    <w:rsid w:val="00050444"/>
    <w:rsid w:val="00055CBF"/>
    <w:rsid w:val="00065774"/>
    <w:rsid w:val="00066EFB"/>
    <w:rsid w:val="0008424D"/>
    <w:rsid w:val="00093EC7"/>
    <w:rsid w:val="000B1287"/>
    <w:rsid w:val="000B4C33"/>
    <w:rsid w:val="000B56C9"/>
    <w:rsid w:val="000C4609"/>
    <w:rsid w:val="000D1E2C"/>
    <w:rsid w:val="000E71C4"/>
    <w:rsid w:val="000F2E93"/>
    <w:rsid w:val="000F2FD5"/>
    <w:rsid w:val="00107AAC"/>
    <w:rsid w:val="00126E39"/>
    <w:rsid w:val="00133778"/>
    <w:rsid w:val="00135A34"/>
    <w:rsid w:val="00140803"/>
    <w:rsid w:val="00147737"/>
    <w:rsid w:val="00151D09"/>
    <w:rsid w:val="001928BD"/>
    <w:rsid w:val="00192E70"/>
    <w:rsid w:val="001A036A"/>
    <w:rsid w:val="001A19F9"/>
    <w:rsid w:val="001B106A"/>
    <w:rsid w:val="001E2D40"/>
    <w:rsid w:val="001F6B26"/>
    <w:rsid w:val="001F7875"/>
    <w:rsid w:val="002020E9"/>
    <w:rsid w:val="002049BD"/>
    <w:rsid w:val="00207CD0"/>
    <w:rsid w:val="0021098B"/>
    <w:rsid w:val="00211FD3"/>
    <w:rsid w:val="00214182"/>
    <w:rsid w:val="0021585F"/>
    <w:rsid w:val="00225AA7"/>
    <w:rsid w:val="002276DF"/>
    <w:rsid w:val="00232F62"/>
    <w:rsid w:val="00235C9C"/>
    <w:rsid w:val="00240E8A"/>
    <w:rsid w:val="0025524A"/>
    <w:rsid w:val="00275452"/>
    <w:rsid w:val="00280053"/>
    <w:rsid w:val="002A3D01"/>
    <w:rsid w:val="002A567F"/>
    <w:rsid w:val="002A6027"/>
    <w:rsid w:val="002B1C8F"/>
    <w:rsid w:val="002B5182"/>
    <w:rsid w:val="002B6075"/>
    <w:rsid w:val="002C04DF"/>
    <w:rsid w:val="002D2FD6"/>
    <w:rsid w:val="002D76D5"/>
    <w:rsid w:val="00300E77"/>
    <w:rsid w:val="00305CCA"/>
    <w:rsid w:val="00306975"/>
    <w:rsid w:val="00315FB4"/>
    <w:rsid w:val="00316227"/>
    <w:rsid w:val="00330108"/>
    <w:rsid w:val="003453C6"/>
    <w:rsid w:val="00353C96"/>
    <w:rsid w:val="00357EA7"/>
    <w:rsid w:val="003608D2"/>
    <w:rsid w:val="003805BF"/>
    <w:rsid w:val="00385F69"/>
    <w:rsid w:val="003A456A"/>
    <w:rsid w:val="003A6AD8"/>
    <w:rsid w:val="003B2E38"/>
    <w:rsid w:val="003B6148"/>
    <w:rsid w:val="003C7559"/>
    <w:rsid w:val="003C7EE9"/>
    <w:rsid w:val="003D41F9"/>
    <w:rsid w:val="003E1CA7"/>
    <w:rsid w:val="003F2BDB"/>
    <w:rsid w:val="00400F5B"/>
    <w:rsid w:val="004042ED"/>
    <w:rsid w:val="00406B90"/>
    <w:rsid w:val="0041099F"/>
    <w:rsid w:val="004220AB"/>
    <w:rsid w:val="00427597"/>
    <w:rsid w:val="004335D7"/>
    <w:rsid w:val="00435115"/>
    <w:rsid w:val="00441912"/>
    <w:rsid w:val="00443318"/>
    <w:rsid w:val="004457B0"/>
    <w:rsid w:val="00464BF5"/>
    <w:rsid w:val="00480C62"/>
    <w:rsid w:val="00483F82"/>
    <w:rsid w:val="0048545D"/>
    <w:rsid w:val="00492FAE"/>
    <w:rsid w:val="00493183"/>
    <w:rsid w:val="004B2582"/>
    <w:rsid w:val="004B2C1E"/>
    <w:rsid w:val="004C5D36"/>
    <w:rsid w:val="004C7FB1"/>
    <w:rsid w:val="004E12DE"/>
    <w:rsid w:val="004E1703"/>
    <w:rsid w:val="004F4371"/>
    <w:rsid w:val="00510867"/>
    <w:rsid w:val="005148E6"/>
    <w:rsid w:val="00522801"/>
    <w:rsid w:val="00526264"/>
    <w:rsid w:val="00531379"/>
    <w:rsid w:val="00537850"/>
    <w:rsid w:val="00541947"/>
    <w:rsid w:val="00556DBA"/>
    <w:rsid w:val="00563486"/>
    <w:rsid w:val="005671B1"/>
    <w:rsid w:val="005676D4"/>
    <w:rsid w:val="00567DFB"/>
    <w:rsid w:val="00575DD1"/>
    <w:rsid w:val="005816F1"/>
    <w:rsid w:val="005839E5"/>
    <w:rsid w:val="005A0036"/>
    <w:rsid w:val="005B0A92"/>
    <w:rsid w:val="005C0553"/>
    <w:rsid w:val="005D02A9"/>
    <w:rsid w:val="005D15A8"/>
    <w:rsid w:val="005D1617"/>
    <w:rsid w:val="005E4A51"/>
    <w:rsid w:val="005E5D36"/>
    <w:rsid w:val="005F0345"/>
    <w:rsid w:val="005F1284"/>
    <w:rsid w:val="005F38A1"/>
    <w:rsid w:val="00600193"/>
    <w:rsid w:val="006062C1"/>
    <w:rsid w:val="00610943"/>
    <w:rsid w:val="00621F75"/>
    <w:rsid w:val="00623C89"/>
    <w:rsid w:val="00630C3D"/>
    <w:rsid w:val="006312E0"/>
    <w:rsid w:val="0063307D"/>
    <w:rsid w:val="00635096"/>
    <w:rsid w:val="006350D0"/>
    <w:rsid w:val="00640948"/>
    <w:rsid w:val="00641428"/>
    <w:rsid w:val="0064233B"/>
    <w:rsid w:val="00642DC0"/>
    <w:rsid w:val="0064668A"/>
    <w:rsid w:val="006509F6"/>
    <w:rsid w:val="00651951"/>
    <w:rsid w:val="0067470E"/>
    <w:rsid w:val="006910F0"/>
    <w:rsid w:val="006A3F7D"/>
    <w:rsid w:val="006B72E5"/>
    <w:rsid w:val="006C0048"/>
    <w:rsid w:val="006C22F3"/>
    <w:rsid w:val="006C524F"/>
    <w:rsid w:val="006C7BCD"/>
    <w:rsid w:val="006C7BF6"/>
    <w:rsid w:val="006E03D5"/>
    <w:rsid w:val="006E224A"/>
    <w:rsid w:val="006F4A0D"/>
    <w:rsid w:val="00715F0F"/>
    <w:rsid w:val="00725C05"/>
    <w:rsid w:val="00732191"/>
    <w:rsid w:val="0074429D"/>
    <w:rsid w:val="0075525B"/>
    <w:rsid w:val="007555EB"/>
    <w:rsid w:val="0075603C"/>
    <w:rsid w:val="00756FEF"/>
    <w:rsid w:val="00762AA5"/>
    <w:rsid w:val="00762E48"/>
    <w:rsid w:val="0076387A"/>
    <w:rsid w:val="00765DF4"/>
    <w:rsid w:val="007670B1"/>
    <w:rsid w:val="007822C9"/>
    <w:rsid w:val="00784A3E"/>
    <w:rsid w:val="007932DE"/>
    <w:rsid w:val="00793ADB"/>
    <w:rsid w:val="00794E4B"/>
    <w:rsid w:val="00795A85"/>
    <w:rsid w:val="00796527"/>
    <w:rsid w:val="007A1DE9"/>
    <w:rsid w:val="007A3642"/>
    <w:rsid w:val="007A7D45"/>
    <w:rsid w:val="007B1634"/>
    <w:rsid w:val="007B24F0"/>
    <w:rsid w:val="007B605D"/>
    <w:rsid w:val="007C739C"/>
    <w:rsid w:val="007E4509"/>
    <w:rsid w:val="007E4B47"/>
    <w:rsid w:val="007F5A0F"/>
    <w:rsid w:val="00810DF5"/>
    <w:rsid w:val="00815356"/>
    <w:rsid w:val="00822749"/>
    <w:rsid w:val="008254C1"/>
    <w:rsid w:val="008336F9"/>
    <w:rsid w:val="00833BF2"/>
    <w:rsid w:val="00845D60"/>
    <w:rsid w:val="008536A0"/>
    <w:rsid w:val="008640A0"/>
    <w:rsid w:val="00870E5D"/>
    <w:rsid w:val="008732EB"/>
    <w:rsid w:val="00880E5B"/>
    <w:rsid w:val="00883E62"/>
    <w:rsid w:val="008850C7"/>
    <w:rsid w:val="00892E48"/>
    <w:rsid w:val="00896998"/>
    <w:rsid w:val="008A2E6F"/>
    <w:rsid w:val="008A342B"/>
    <w:rsid w:val="008B15C1"/>
    <w:rsid w:val="008B69F6"/>
    <w:rsid w:val="008D00E3"/>
    <w:rsid w:val="008D65D1"/>
    <w:rsid w:val="008E5C59"/>
    <w:rsid w:val="008F30D6"/>
    <w:rsid w:val="00901C68"/>
    <w:rsid w:val="00903950"/>
    <w:rsid w:val="00912D55"/>
    <w:rsid w:val="00922575"/>
    <w:rsid w:val="00932D98"/>
    <w:rsid w:val="00936A1D"/>
    <w:rsid w:val="00943F43"/>
    <w:rsid w:val="00952A95"/>
    <w:rsid w:val="0095333F"/>
    <w:rsid w:val="00962720"/>
    <w:rsid w:val="009632F3"/>
    <w:rsid w:val="009721F3"/>
    <w:rsid w:val="00983BA3"/>
    <w:rsid w:val="00985803"/>
    <w:rsid w:val="00987981"/>
    <w:rsid w:val="00993AF1"/>
    <w:rsid w:val="009A1D51"/>
    <w:rsid w:val="009A57C8"/>
    <w:rsid w:val="009C460C"/>
    <w:rsid w:val="009C68CA"/>
    <w:rsid w:val="009D1530"/>
    <w:rsid w:val="009D776C"/>
    <w:rsid w:val="009E0F97"/>
    <w:rsid w:val="009F23DA"/>
    <w:rsid w:val="009F3ADF"/>
    <w:rsid w:val="009F76DC"/>
    <w:rsid w:val="00A149EB"/>
    <w:rsid w:val="00A166B6"/>
    <w:rsid w:val="00A201BD"/>
    <w:rsid w:val="00A41AB9"/>
    <w:rsid w:val="00A44472"/>
    <w:rsid w:val="00A56CEA"/>
    <w:rsid w:val="00A61C71"/>
    <w:rsid w:val="00A77859"/>
    <w:rsid w:val="00A825AA"/>
    <w:rsid w:val="00A9076F"/>
    <w:rsid w:val="00A958B6"/>
    <w:rsid w:val="00AA2AA6"/>
    <w:rsid w:val="00AB3891"/>
    <w:rsid w:val="00AC42BB"/>
    <w:rsid w:val="00AC721B"/>
    <w:rsid w:val="00AC7CC7"/>
    <w:rsid w:val="00AD22A0"/>
    <w:rsid w:val="00AD576E"/>
    <w:rsid w:val="00AE47E4"/>
    <w:rsid w:val="00AE5EC7"/>
    <w:rsid w:val="00AF2544"/>
    <w:rsid w:val="00B009E9"/>
    <w:rsid w:val="00B03F86"/>
    <w:rsid w:val="00B06F55"/>
    <w:rsid w:val="00B13566"/>
    <w:rsid w:val="00B35EF9"/>
    <w:rsid w:val="00B3722E"/>
    <w:rsid w:val="00B420F0"/>
    <w:rsid w:val="00B52048"/>
    <w:rsid w:val="00B53D12"/>
    <w:rsid w:val="00B55061"/>
    <w:rsid w:val="00B57910"/>
    <w:rsid w:val="00B7146A"/>
    <w:rsid w:val="00B74D46"/>
    <w:rsid w:val="00B75C21"/>
    <w:rsid w:val="00B91E6C"/>
    <w:rsid w:val="00BA3393"/>
    <w:rsid w:val="00BA79EB"/>
    <w:rsid w:val="00BB5133"/>
    <w:rsid w:val="00BC6034"/>
    <w:rsid w:val="00BD44BA"/>
    <w:rsid w:val="00BE0386"/>
    <w:rsid w:val="00BE1795"/>
    <w:rsid w:val="00BE51C3"/>
    <w:rsid w:val="00BE5C2F"/>
    <w:rsid w:val="00BF3146"/>
    <w:rsid w:val="00C01475"/>
    <w:rsid w:val="00C21508"/>
    <w:rsid w:val="00C21FC9"/>
    <w:rsid w:val="00C24CEE"/>
    <w:rsid w:val="00C27DA1"/>
    <w:rsid w:val="00C307D2"/>
    <w:rsid w:val="00C36A0F"/>
    <w:rsid w:val="00C45DB9"/>
    <w:rsid w:val="00C7114B"/>
    <w:rsid w:val="00C71763"/>
    <w:rsid w:val="00C73507"/>
    <w:rsid w:val="00C775BC"/>
    <w:rsid w:val="00C84A00"/>
    <w:rsid w:val="00C90BD2"/>
    <w:rsid w:val="00CA2A9B"/>
    <w:rsid w:val="00CB6A96"/>
    <w:rsid w:val="00CC6D41"/>
    <w:rsid w:val="00CD49B8"/>
    <w:rsid w:val="00CD6DE3"/>
    <w:rsid w:val="00CD747B"/>
    <w:rsid w:val="00CE04D5"/>
    <w:rsid w:val="00CE0AB9"/>
    <w:rsid w:val="00D01907"/>
    <w:rsid w:val="00D05617"/>
    <w:rsid w:val="00D06907"/>
    <w:rsid w:val="00D121FE"/>
    <w:rsid w:val="00D139E9"/>
    <w:rsid w:val="00D35DCB"/>
    <w:rsid w:val="00D44F3D"/>
    <w:rsid w:val="00D4598B"/>
    <w:rsid w:val="00D52A54"/>
    <w:rsid w:val="00D6040F"/>
    <w:rsid w:val="00D77AC1"/>
    <w:rsid w:val="00D82981"/>
    <w:rsid w:val="00D877E8"/>
    <w:rsid w:val="00D9289D"/>
    <w:rsid w:val="00D95FC7"/>
    <w:rsid w:val="00DA02E4"/>
    <w:rsid w:val="00DA195A"/>
    <w:rsid w:val="00DA6191"/>
    <w:rsid w:val="00DC1A7F"/>
    <w:rsid w:val="00DF4439"/>
    <w:rsid w:val="00E00B80"/>
    <w:rsid w:val="00E01420"/>
    <w:rsid w:val="00E045D4"/>
    <w:rsid w:val="00E13802"/>
    <w:rsid w:val="00E14B6A"/>
    <w:rsid w:val="00E2576B"/>
    <w:rsid w:val="00E261BA"/>
    <w:rsid w:val="00E506FC"/>
    <w:rsid w:val="00E579DD"/>
    <w:rsid w:val="00E6544B"/>
    <w:rsid w:val="00E84DF9"/>
    <w:rsid w:val="00E8754C"/>
    <w:rsid w:val="00E91A9C"/>
    <w:rsid w:val="00EA4A69"/>
    <w:rsid w:val="00EB08C7"/>
    <w:rsid w:val="00EB2011"/>
    <w:rsid w:val="00EC1E4E"/>
    <w:rsid w:val="00EC1EAE"/>
    <w:rsid w:val="00EF7282"/>
    <w:rsid w:val="00F022B8"/>
    <w:rsid w:val="00F02403"/>
    <w:rsid w:val="00F03C52"/>
    <w:rsid w:val="00F10166"/>
    <w:rsid w:val="00F11E88"/>
    <w:rsid w:val="00F14561"/>
    <w:rsid w:val="00F154BD"/>
    <w:rsid w:val="00F41B5D"/>
    <w:rsid w:val="00F41BFE"/>
    <w:rsid w:val="00F45A0D"/>
    <w:rsid w:val="00F46573"/>
    <w:rsid w:val="00F5482E"/>
    <w:rsid w:val="00F54AAE"/>
    <w:rsid w:val="00F56E84"/>
    <w:rsid w:val="00F61521"/>
    <w:rsid w:val="00F65B2B"/>
    <w:rsid w:val="00F665D8"/>
    <w:rsid w:val="00F70BF5"/>
    <w:rsid w:val="00F72CC1"/>
    <w:rsid w:val="00F7653D"/>
    <w:rsid w:val="00F8491E"/>
    <w:rsid w:val="00F852E7"/>
    <w:rsid w:val="00FA46BA"/>
    <w:rsid w:val="00FB699B"/>
    <w:rsid w:val="00FC2B24"/>
    <w:rsid w:val="00FF1A32"/>
    <w:rsid w:val="00FF4C9E"/>
    <w:rsid w:val="00FF7781"/>
    <w:rsid w:val="3B6B61CC"/>
    <w:rsid w:val="49DC5B65"/>
    <w:rsid w:val="4B6B22E3"/>
    <w:rsid w:val="4B7C7A23"/>
    <w:rsid w:val="4E1F1EB7"/>
    <w:rsid w:val="50477EED"/>
    <w:rsid w:val="52376A08"/>
    <w:rsid w:val="6A7B13C8"/>
    <w:rsid w:val="7746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lang w:val="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Indent 2"/>
    <w:basedOn w:val="1"/>
    <w:link w:val="19"/>
    <w:qFormat/>
    <w:uiPriority w:val="0"/>
    <w:pPr>
      <w:spacing w:line="324" w:lineRule="auto"/>
      <w:ind w:left="2100"/>
    </w:pPr>
    <w:rPr>
      <w:rFonts w:ascii=".." w:hAnsi=".."/>
      <w:color w:val="000000"/>
      <w:szCs w:val="20"/>
      <w:lang w:val="zh-CN"/>
    </w:rPr>
  </w:style>
  <w:style w:type="paragraph" w:styleId="5">
    <w:name w:val="Balloon Text"/>
    <w:basedOn w:val="1"/>
    <w:link w:val="2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annotation subject"/>
    <w:basedOn w:val="3"/>
    <w:next w:val="3"/>
    <w:link w:val="24"/>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paragraph" w:customStyle="1" w:styleId="14">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15">
    <w:name w:val="Char"/>
    <w:basedOn w:val="1"/>
    <w:qFormat/>
    <w:uiPriority w:val="0"/>
    <w:pPr>
      <w:widowControl/>
      <w:spacing w:after="160" w:line="240" w:lineRule="exact"/>
      <w:jc w:val="left"/>
    </w:pPr>
    <w:rPr>
      <w:kern w:val="0"/>
      <w:sz w:val="20"/>
      <w:szCs w:val="20"/>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CM1"/>
    <w:basedOn w:val="16"/>
    <w:next w:val="16"/>
    <w:qFormat/>
    <w:uiPriority w:val="0"/>
    <w:pPr>
      <w:spacing w:line="468" w:lineRule="atLeast"/>
    </w:pPr>
    <w:rPr>
      <w:color w:val="auto"/>
    </w:rPr>
  </w:style>
  <w:style w:type="character" w:customStyle="1" w:styleId="18">
    <w:name w:val="标题 1 字符"/>
    <w:link w:val="2"/>
    <w:qFormat/>
    <w:uiPriority w:val="0"/>
    <w:rPr>
      <w:b/>
      <w:bCs/>
      <w:kern w:val="44"/>
      <w:sz w:val="44"/>
      <w:szCs w:val="44"/>
    </w:rPr>
  </w:style>
  <w:style w:type="character" w:customStyle="1" w:styleId="19">
    <w:name w:val="正文文本缩进 2 字符"/>
    <w:link w:val="4"/>
    <w:qFormat/>
    <w:uiPriority w:val="0"/>
    <w:rPr>
      <w:rFonts w:ascii=".." w:hAnsi=".."/>
      <w:color w:val="000000"/>
      <w:kern w:val="2"/>
      <w:sz w:val="21"/>
    </w:rPr>
  </w:style>
  <w:style w:type="character" w:customStyle="1" w:styleId="20">
    <w:name w:val="页眉 字符"/>
    <w:link w:val="7"/>
    <w:qFormat/>
    <w:uiPriority w:val="0"/>
    <w:rPr>
      <w:rFonts w:eastAsia="宋体"/>
      <w:kern w:val="2"/>
      <w:sz w:val="18"/>
      <w:szCs w:val="18"/>
      <w:lang w:val="en-US" w:eastAsia="zh-CN" w:bidi="ar-SA"/>
    </w:rPr>
  </w:style>
  <w:style w:type="paragraph" w:styleId="21">
    <w:name w:val="List Paragraph"/>
    <w:basedOn w:val="1"/>
    <w:qFormat/>
    <w:uiPriority w:val="34"/>
    <w:pPr>
      <w:ind w:firstLine="420" w:firstLineChars="200"/>
    </w:pPr>
  </w:style>
  <w:style w:type="character" w:customStyle="1" w:styleId="22">
    <w:name w:val="批注框文本 字符"/>
    <w:link w:val="5"/>
    <w:qFormat/>
    <w:uiPriority w:val="0"/>
    <w:rPr>
      <w:kern w:val="2"/>
      <w:sz w:val="18"/>
      <w:szCs w:val="18"/>
    </w:rPr>
  </w:style>
  <w:style w:type="character" w:customStyle="1" w:styleId="23">
    <w:name w:val="批注文字 字符"/>
    <w:basedOn w:val="12"/>
    <w:link w:val="3"/>
    <w:qFormat/>
    <w:uiPriority w:val="0"/>
    <w:rPr>
      <w:kern w:val="2"/>
      <w:sz w:val="21"/>
      <w:szCs w:val="24"/>
    </w:rPr>
  </w:style>
  <w:style w:type="character" w:customStyle="1" w:styleId="24">
    <w:name w:val="批注主题 字符"/>
    <w:basedOn w:val="23"/>
    <w:link w:val="9"/>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15415</Words>
  <Characters>15507</Characters>
  <Lines>125</Lines>
  <Paragraphs>35</Paragraphs>
  <TotalTime>123</TotalTime>
  <ScaleCrop>false</ScaleCrop>
  <LinksUpToDate>false</LinksUpToDate>
  <CharactersWithSpaces>15745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2023-08-28T05:19:00Z</dcterms:created>
  <dc:creator>Llinks</dc:creator>
  <cp:lastModifiedBy>lln</cp:lastModifiedBy>
  <dcterms:modified xsi:type="dcterms:W3CDTF">2025-09-02T02:38:59Z</dcterms:modified>
  <dc:title>议案十四</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2FE5380AC05B4DD29954BDA72916DC12_13</vt:lpwstr>
  </property>
</Properties>
</file>